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6FAC" w14:textId="77777777" w:rsidR="004A37D1" w:rsidRPr="004A37D1" w:rsidRDefault="004A37D1" w:rsidP="004A37D1">
      <w:pPr>
        <w:pStyle w:val="Heading1"/>
        <w:keepLines w:val="0"/>
        <w:spacing w:before="0" w:after="180" w:line="240" w:lineRule="auto"/>
        <w:rPr>
          <w:rFonts w:ascii="Arial" w:eastAsia="Times New Roman" w:hAnsi="Arial"/>
          <w:color w:val="auto"/>
        </w:rPr>
      </w:pPr>
      <w:bookmarkStart w:id="0" w:name="_Toc78287397"/>
      <w:bookmarkStart w:id="1" w:name="_Toc78355804"/>
      <w:bookmarkStart w:id="2" w:name="_Toc113544396"/>
      <w:r w:rsidRPr="004A37D1">
        <w:rPr>
          <w:rFonts w:ascii="Arial" w:eastAsia="Times New Roman" w:hAnsi="Arial"/>
          <w:color w:val="auto"/>
        </w:rPr>
        <w:t>05 Strengthen capability, innovation and governance</w:t>
      </w:r>
      <w:bookmarkEnd w:id="0"/>
      <w:bookmarkEnd w:id="1"/>
      <w:bookmarkEnd w:id="2"/>
    </w:p>
    <w:p w14:paraId="50EFEF47" w14:textId="77777777" w:rsidR="004A37D1" w:rsidRPr="004A37D1" w:rsidRDefault="004A37D1" w:rsidP="004A37D1">
      <w:pPr>
        <w:spacing w:after="120" w:line="240" w:lineRule="auto"/>
        <w:outlineLvl w:val="2"/>
        <w:rPr>
          <w:rFonts w:ascii="Arial" w:eastAsia="Times New Roman" w:hAnsi="Arial" w:cs="Arial"/>
          <w:bCs/>
          <w:sz w:val="26"/>
          <w:szCs w:val="26"/>
        </w:rPr>
      </w:pPr>
      <w:r w:rsidRPr="004A37D1">
        <w:rPr>
          <w:rFonts w:ascii="Arial" w:eastAsia="Times New Roman" w:hAnsi="Arial" w:cs="Arial"/>
          <w:bCs/>
          <w:sz w:val="26"/>
          <w:szCs w:val="26"/>
        </w:rPr>
        <w:t>DELIVERED DEPARTMENTAL OBJECTIVES</w:t>
      </w:r>
    </w:p>
    <w:p w14:paraId="1FBB4FCF" w14:textId="77777777" w:rsidR="004A37D1" w:rsidRPr="004A37D1" w:rsidRDefault="004A37D1" w:rsidP="004A37D1">
      <w:pPr>
        <w:spacing w:before="240" w:after="200" w:line="276" w:lineRule="auto"/>
        <w:rPr>
          <w:rFonts w:ascii="Arial" w:eastAsia="Times New Roman" w:hAnsi="Arial" w:cs="Arial"/>
          <w:sz w:val="21"/>
          <w:szCs w:val="21"/>
          <w:lang w:eastAsia="en-AU"/>
        </w:rPr>
      </w:pPr>
      <w:r w:rsidRPr="004A37D1">
        <w:rPr>
          <w:rFonts w:ascii="Arial" w:eastAsia="Times New Roman" w:hAnsi="Arial" w:cs="Arial"/>
          <w:sz w:val="21"/>
          <w:szCs w:val="21"/>
          <w:lang w:eastAsia="en-AU"/>
        </w:rPr>
        <w:t xml:space="preserve">ENABLED THE DEPARTMENT TO RESPOND AND ADAPT TO CHANGING INTERNAL AND EXTERNAL CHALLENGES, AND TO ACHIEVE ITS STRATEGIC OBJECTIVES, BY: </w:t>
      </w:r>
    </w:p>
    <w:p w14:paraId="6FF189F2" w14:textId="77777777" w:rsidR="004A37D1" w:rsidRPr="00695E3F" w:rsidRDefault="004A37D1" w:rsidP="007054F2">
      <w:pPr>
        <w:pStyle w:val="ListParagraph"/>
        <w:numPr>
          <w:ilvl w:val="0"/>
          <w:numId w:val="15"/>
        </w:numPr>
        <w:tabs>
          <w:tab w:val="num" w:pos="360"/>
        </w:tabs>
        <w:spacing w:after="120"/>
      </w:pPr>
      <w:r w:rsidRPr="00695E3F">
        <w:rPr>
          <w:b/>
          <w:bCs/>
        </w:rPr>
        <w:t xml:space="preserve">STRENGTHENING </w:t>
      </w:r>
      <w:r w:rsidRPr="00695E3F">
        <w:t>CAPABILITY, INNOVATION AND GOVERNANCE</w:t>
      </w:r>
    </w:p>
    <w:p w14:paraId="2045E946" w14:textId="4B07C131" w:rsidR="004A37D1" w:rsidRPr="004A37D1" w:rsidRDefault="004A37D1" w:rsidP="004A37D1">
      <w:pPr>
        <w:pStyle w:val="Heading2"/>
        <w:keepLines w:val="0"/>
        <w:spacing w:before="0" w:after="120" w:line="240" w:lineRule="auto"/>
        <w:rPr>
          <w:rFonts w:ascii="Arial" w:hAnsi="Arial"/>
          <w:color w:val="auto"/>
        </w:rPr>
      </w:pPr>
      <w:bookmarkStart w:id="3" w:name="_Toc113544397"/>
      <w:r w:rsidRPr="004A37D1">
        <w:rPr>
          <w:rFonts w:ascii="Arial" w:hAnsi="Arial"/>
          <w:color w:val="auto"/>
        </w:rPr>
        <w:t>Our people</w:t>
      </w:r>
      <w:bookmarkEnd w:id="3"/>
      <w:r w:rsidRPr="004A37D1">
        <w:rPr>
          <w:rFonts w:ascii="Arial" w:hAnsi="Arial"/>
          <w:color w:val="auto"/>
        </w:rPr>
        <w:t xml:space="preserve"> </w:t>
      </w:r>
    </w:p>
    <w:p w14:paraId="3512ECAF" w14:textId="77777777" w:rsidR="004A37D1" w:rsidRPr="004A37D1" w:rsidRDefault="004A37D1" w:rsidP="004A37D1">
      <w:pPr>
        <w:pStyle w:val="Heading3"/>
        <w:rPr>
          <w:rFonts w:eastAsia="Calibri"/>
        </w:rPr>
      </w:pPr>
      <w:r w:rsidRPr="004A37D1">
        <w:rPr>
          <w:rFonts w:eastAsia="Calibri"/>
        </w:rPr>
        <w:t xml:space="preserve">Workforce profile </w:t>
      </w:r>
    </w:p>
    <w:p w14:paraId="320ECFA4" w14:textId="77777777" w:rsidR="004A37D1" w:rsidRPr="004A37D1" w:rsidRDefault="004A37D1" w:rsidP="004A37D1">
      <w:pPr>
        <w:spacing w:after="200" w:line="276" w:lineRule="auto"/>
        <w:rPr>
          <w:rFonts w:ascii="Arial" w:eastAsia="Times New Roman" w:hAnsi="Arial" w:cs="Arial"/>
          <w:sz w:val="21"/>
          <w:szCs w:val="21"/>
          <w:lang w:eastAsia="en-AU"/>
        </w:rPr>
      </w:pPr>
      <w:r w:rsidRPr="004A37D1">
        <w:rPr>
          <w:rFonts w:ascii="Arial" w:eastAsia="Times New Roman" w:hAnsi="Arial" w:cs="Arial"/>
          <w:sz w:val="21"/>
          <w:szCs w:val="21"/>
          <w:lang w:eastAsia="en-AU"/>
        </w:rPr>
        <w:t xml:space="preserve">Employees are our most valuable asset. Our people are a key component of leading change with a focus on improving the outcomes for seniors, people with disability and Aboriginal and Torres Strait Islander Queenslanders. </w:t>
      </w:r>
    </w:p>
    <w:p w14:paraId="7D4086CA" w14:textId="77777777" w:rsidR="004A37D1" w:rsidRPr="004A37D1" w:rsidRDefault="004A37D1" w:rsidP="004A37D1">
      <w:pPr>
        <w:spacing w:after="200" w:line="276" w:lineRule="auto"/>
        <w:rPr>
          <w:rFonts w:ascii="Arial" w:eastAsia="Times New Roman" w:hAnsi="Arial" w:cs="Arial"/>
          <w:sz w:val="21"/>
          <w:szCs w:val="21"/>
          <w:lang w:eastAsia="en-AU"/>
        </w:rPr>
      </w:pPr>
      <w:r w:rsidRPr="004A37D1">
        <w:rPr>
          <w:rFonts w:ascii="Arial" w:eastAsia="Times New Roman" w:hAnsi="Arial" w:cs="Arial"/>
          <w:sz w:val="21"/>
          <w:szCs w:val="21"/>
          <w:lang w:eastAsia="en-AU"/>
        </w:rPr>
        <w:t xml:space="preserve">The department’s SOLID values underpin all that we do and set the tone for our work. They set the scene for high-expectation relationships in which individual strengths and capabilities are acknowledged and valued. They encourage us to respectfully challenge ourselves and work together to create solutions and pathways to positive change. </w:t>
      </w:r>
    </w:p>
    <w:p w14:paraId="2F7FE6C6" w14:textId="77777777" w:rsidR="004A37D1" w:rsidRPr="004A37D1" w:rsidRDefault="004A37D1" w:rsidP="004A37D1">
      <w:pPr>
        <w:spacing w:after="200" w:line="276" w:lineRule="auto"/>
        <w:rPr>
          <w:rFonts w:ascii="Arial" w:eastAsia="Times New Roman" w:hAnsi="Arial" w:cs="Arial"/>
          <w:sz w:val="21"/>
          <w:szCs w:val="21"/>
          <w:lang w:eastAsia="en-AU"/>
        </w:rPr>
      </w:pPr>
      <w:r w:rsidRPr="004A37D1">
        <w:rPr>
          <w:rFonts w:ascii="Arial" w:eastAsia="Times New Roman" w:hAnsi="Arial" w:cs="Arial"/>
          <w:sz w:val="21"/>
          <w:szCs w:val="21"/>
          <w:lang w:eastAsia="en-AU"/>
        </w:rPr>
        <w:t xml:space="preserve">The department is committed to supporting a thriving workplace where all people feel safe, valued and respected, and where the principles of inclusion are strongly reflected in our culture and values, as set out in our </w:t>
      </w:r>
      <w:r w:rsidRPr="004A37D1">
        <w:rPr>
          <w:rFonts w:ascii="Arial" w:eastAsia="Times New Roman" w:hAnsi="Arial" w:cs="Arial"/>
          <w:i/>
          <w:iCs/>
          <w:sz w:val="21"/>
          <w:szCs w:val="21"/>
          <w:lang w:eastAsia="en-AU"/>
        </w:rPr>
        <w:t>Inclusion and Diversity Strategy 2021–24.</w:t>
      </w:r>
      <w:r w:rsidRPr="004A37D1">
        <w:rPr>
          <w:rFonts w:ascii="Arial" w:eastAsia="Times New Roman" w:hAnsi="Arial" w:cs="Arial"/>
          <w:sz w:val="21"/>
          <w:szCs w:val="21"/>
          <w:lang w:eastAsia="en-AU"/>
        </w:rPr>
        <w:t xml:space="preserve"> </w:t>
      </w:r>
    </w:p>
    <w:p w14:paraId="58C50947" w14:textId="77777777" w:rsidR="004A37D1" w:rsidRPr="004A37D1" w:rsidRDefault="004A37D1" w:rsidP="004A37D1">
      <w:pPr>
        <w:spacing w:after="120" w:line="276" w:lineRule="auto"/>
        <w:rPr>
          <w:rFonts w:ascii="Arial" w:eastAsia="Times New Roman" w:hAnsi="Arial" w:cs="Arial"/>
          <w:b/>
          <w:bCs/>
          <w:sz w:val="21"/>
          <w:szCs w:val="21"/>
          <w:lang w:eastAsia="en-AU"/>
        </w:rPr>
      </w:pPr>
      <w:r w:rsidRPr="004A37D1">
        <w:rPr>
          <w:rFonts w:ascii="Arial" w:eastAsia="Times New Roman" w:hAnsi="Arial" w:cs="Arial"/>
          <w:b/>
          <w:bCs/>
          <w:sz w:val="21"/>
          <w:szCs w:val="21"/>
          <w:lang w:eastAsia="en-AU"/>
        </w:rPr>
        <w:t>Full-time equivalent employees</w:t>
      </w:r>
    </w:p>
    <w:p w14:paraId="1A01D059" w14:textId="77777777" w:rsidR="004A37D1" w:rsidRPr="004A37D1" w:rsidRDefault="004A37D1" w:rsidP="004A37D1">
      <w:pPr>
        <w:spacing w:after="120" w:line="240" w:lineRule="auto"/>
        <w:rPr>
          <w:rFonts w:ascii="Arial" w:eastAsia="Times New Roman" w:hAnsi="Arial" w:cs="Arial"/>
          <w:sz w:val="21"/>
          <w:szCs w:val="21"/>
          <w:lang w:eastAsia="en-AU"/>
        </w:rPr>
      </w:pPr>
      <w:r w:rsidRPr="004A37D1">
        <w:rPr>
          <w:rFonts w:ascii="Arial" w:eastAsia="Times New Roman" w:hAnsi="Arial" w:cs="Arial"/>
          <w:sz w:val="21"/>
          <w:szCs w:val="21"/>
          <w:lang w:eastAsia="en-AU"/>
        </w:rPr>
        <w:t>The Service Delivery Statement breakdown of full-time equivalent employees as at 30 June 2022 is highlighted below.</w:t>
      </w:r>
    </w:p>
    <w:p w14:paraId="52A29ADB" w14:textId="77777777" w:rsidR="004A37D1" w:rsidRPr="004A37D1" w:rsidRDefault="004A37D1" w:rsidP="004A37D1">
      <w:pPr>
        <w:spacing w:after="120" w:line="240" w:lineRule="auto"/>
        <w:rPr>
          <w:rFonts w:ascii="Arial" w:eastAsia="Times New Roman" w:hAnsi="Arial" w:cs="Arial"/>
          <w:sz w:val="21"/>
          <w:szCs w:val="21"/>
          <w:lang w:eastAsia="en-AU"/>
        </w:rPr>
      </w:pPr>
      <w:r w:rsidRPr="004A37D1">
        <w:rPr>
          <w:rFonts w:ascii="Arial" w:eastAsia="Times New Roman" w:hAnsi="Arial" w:cs="Arial"/>
          <w:sz w:val="21"/>
          <w:szCs w:val="21"/>
          <w:lang w:eastAsia="en-AU"/>
        </w:rPr>
        <w:t>Workforce profile data:</w:t>
      </w:r>
    </w:p>
    <w:tbl>
      <w:tblPr>
        <w:tblStyle w:val="TableGrid"/>
        <w:tblW w:w="0" w:type="auto"/>
        <w:tblLook w:val="04A0" w:firstRow="1" w:lastRow="0" w:firstColumn="1" w:lastColumn="0" w:noHBand="0" w:noVBand="1"/>
      </w:tblPr>
      <w:tblGrid>
        <w:gridCol w:w="8356"/>
        <w:gridCol w:w="2100"/>
      </w:tblGrid>
      <w:tr w:rsidR="00695E3F" w:rsidRPr="004A37D1" w14:paraId="6921F0DC" w14:textId="77777777" w:rsidTr="004A37D1">
        <w:trPr>
          <w:trHeight w:val="728"/>
        </w:trPr>
        <w:tc>
          <w:tcPr>
            <w:tcW w:w="8359" w:type="dxa"/>
            <w:shd w:val="clear" w:color="auto" w:fill="F2F2F2"/>
          </w:tcPr>
          <w:p w14:paraId="431BAA10" w14:textId="77777777" w:rsidR="004A37D1" w:rsidRPr="004A37D1" w:rsidRDefault="004A37D1" w:rsidP="004A37D1">
            <w:pPr>
              <w:spacing w:after="120"/>
              <w:rPr>
                <w:rFonts w:ascii="Arial" w:hAnsi="Arial" w:cs="Arial"/>
                <w:b/>
                <w:bCs/>
                <w:sz w:val="21"/>
                <w:szCs w:val="21"/>
              </w:rPr>
            </w:pPr>
            <w:r w:rsidRPr="004A37D1">
              <w:rPr>
                <w:rFonts w:ascii="Arial" w:hAnsi="Arial" w:cs="Arial"/>
                <w:b/>
                <w:bCs/>
                <w:sz w:val="21"/>
                <w:szCs w:val="21"/>
              </w:rPr>
              <w:t>Service area</w:t>
            </w:r>
          </w:p>
        </w:tc>
        <w:tc>
          <w:tcPr>
            <w:tcW w:w="2101" w:type="dxa"/>
            <w:shd w:val="clear" w:color="auto" w:fill="F2F2F2"/>
          </w:tcPr>
          <w:p w14:paraId="1757EDE0" w14:textId="77777777" w:rsidR="004A37D1" w:rsidRPr="004A37D1" w:rsidRDefault="004A37D1" w:rsidP="004A37D1">
            <w:pPr>
              <w:spacing w:after="120"/>
              <w:jc w:val="center"/>
              <w:rPr>
                <w:rFonts w:ascii="Arial" w:hAnsi="Arial" w:cs="Arial"/>
                <w:b/>
                <w:bCs/>
                <w:sz w:val="21"/>
                <w:szCs w:val="21"/>
              </w:rPr>
            </w:pPr>
            <w:r w:rsidRPr="004A37D1">
              <w:rPr>
                <w:rFonts w:ascii="Arial" w:hAnsi="Arial" w:cs="Arial"/>
                <w:b/>
                <w:bCs/>
                <w:sz w:val="21"/>
                <w:szCs w:val="21"/>
              </w:rPr>
              <w:t>2021–2022</w:t>
            </w:r>
          </w:p>
          <w:p w14:paraId="234D577C" w14:textId="77777777" w:rsidR="004A37D1" w:rsidRPr="004A37D1" w:rsidRDefault="004A37D1" w:rsidP="004A37D1">
            <w:pPr>
              <w:spacing w:after="120"/>
              <w:jc w:val="center"/>
              <w:rPr>
                <w:rFonts w:ascii="Arial" w:hAnsi="Arial" w:cs="Arial"/>
                <w:b/>
                <w:bCs/>
                <w:sz w:val="21"/>
                <w:szCs w:val="21"/>
              </w:rPr>
            </w:pPr>
            <w:r w:rsidRPr="004A37D1">
              <w:rPr>
                <w:rFonts w:ascii="Arial" w:hAnsi="Arial" w:cs="Arial"/>
                <w:b/>
                <w:bCs/>
                <w:sz w:val="21"/>
                <w:szCs w:val="21"/>
              </w:rPr>
              <w:t xml:space="preserve">FTE </w:t>
            </w:r>
          </w:p>
        </w:tc>
      </w:tr>
      <w:tr w:rsidR="00695E3F" w:rsidRPr="004A37D1" w14:paraId="7819214F" w14:textId="77777777" w:rsidTr="00CB0C7B">
        <w:tc>
          <w:tcPr>
            <w:tcW w:w="8359" w:type="dxa"/>
          </w:tcPr>
          <w:p w14:paraId="56220655" w14:textId="77777777" w:rsidR="004A37D1" w:rsidRPr="004A37D1" w:rsidRDefault="004A37D1" w:rsidP="004A37D1">
            <w:pPr>
              <w:spacing w:after="200" w:line="276" w:lineRule="auto"/>
              <w:rPr>
                <w:rFonts w:ascii="Arial" w:hAnsi="Arial" w:cs="Arial"/>
                <w:sz w:val="21"/>
                <w:szCs w:val="21"/>
              </w:rPr>
            </w:pPr>
            <w:r w:rsidRPr="004A37D1">
              <w:rPr>
                <w:rFonts w:ascii="Arial" w:hAnsi="Arial" w:cs="Arial"/>
                <w:sz w:val="21"/>
                <w:szCs w:val="21"/>
              </w:rPr>
              <w:t>Seniors and Disability Services</w:t>
            </w:r>
          </w:p>
        </w:tc>
        <w:tc>
          <w:tcPr>
            <w:tcW w:w="2101" w:type="dxa"/>
            <w:vAlign w:val="center"/>
          </w:tcPr>
          <w:p w14:paraId="7259BF9F" w14:textId="77777777" w:rsidR="004A37D1" w:rsidRPr="004A37D1" w:rsidRDefault="004A37D1" w:rsidP="004A37D1">
            <w:pPr>
              <w:spacing w:after="200" w:line="276" w:lineRule="auto"/>
              <w:jc w:val="center"/>
              <w:rPr>
                <w:rFonts w:ascii="Arial" w:hAnsi="Arial" w:cs="Arial"/>
                <w:sz w:val="21"/>
                <w:szCs w:val="21"/>
              </w:rPr>
            </w:pPr>
            <w:r w:rsidRPr="004A37D1">
              <w:rPr>
                <w:rFonts w:ascii="Arial" w:hAnsi="Arial" w:cs="Arial"/>
                <w:sz w:val="21"/>
                <w:szCs w:val="21"/>
              </w:rPr>
              <w:t>1,648</w:t>
            </w:r>
          </w:p>
        </w:tc>
      </w:tr>
      <w:tr w:rsidR="00695E3F" w:rsidRPr="004A37D1" w14:paraId="669A6F8D" w14:textId="77777777" w:rsidTr="00CB0C7B">
        <w:tc>
          <w:tcPr>
            <w:tcW w:w="8359" w:type="dxa"/>
          </w:tcPr>
          <w:p w14:paraId="771FB8ED" w14:textId="77777777" w:rsidR="004A37D1" w:rsidRPr="004A37D1" w:rsidRDefault="004A37D1" w:rsidP="004A37D1">
            <w:pPr>
              <w:spacing w:after="200" w:line="276" w:lineRule="auto"/>
              <w:rPr>
                <w:rFonts w:ascii="Arial" w:hAnsi="Arial" w:cs="Arial"/>
                <w:sz w:val="21"/>
                <w:szCs w:val="21"/>
              </w:rPr>
            </w:pPr>
            <w:r w:rsidRPr="004A37D1">
              <w:rPr>
                <w:rFonts w:ascii="Arial" w:hAnsi="Arial" w:cs="Arial"/>
                <w:sz w:val="21"/>
                <w:szCs w:val="21"/>
              </w:rPr>
              <w:t>Aboriginal and Torres Strait Islander Partnerships Services</w:t>
            </w:r>
          </w:p>
        </w:tc>
        <w:tc>
          <w:tcPr>
            <w:tcW w:w="2101" w:type="dxa"/>
            <w:vAlign w:val="center"/>
          </w:tcPr>
          <w:p w14:paraId="1706453A" w14:textId="77777777" w:rsidR="004A37D1" w:rsidRPr="004A37D1" w:rsidRDefault="004A37D1" w:rsidP="004A37D1">
            <w:pPr>
              <w:spacing w:after="200" w:line="276" w:lineRule="auto"/>
              <w:jc w:val="center"/>
              <w:rPr>
                <w:rFonts w:ascii="Arial" w:hAnsi="Arial" w:cs="Arial"/>
                <w:sz w:val="21"/>
                <w:szCs w:val="21"/>
              </w:rPr>
            </w:pPr>
            <w:r w:rsidRPr="004A37D1">
              <w:rPr>
                <w:rFonts w:ascii="Arial" w:hAnsi="Arial" w:cs="Arial"/>
                <w:sz w:val="21"/>
                <w:szCs w:val="21"/>
              </w:rPr>
              <w:t>311</w:t>
            </w:r>
          </w:p>
        </w:tc>
      </w:tr>
      <w:tr w:rsidR="00695E3F" w:rsidRPr="004A37D1" w14:paraId="0EF64C7A" w14:textId="77777777" w:rsidTr="00CB0C7B">
        <w:tc>
          <w:tcPr>
            <w:tcW w:w="8359" w:type="dxa"/>
          </w:tcPr>
          <w:p w14:paraId="4DB657E0" w14:textId="77777777" w:rsidR="004A37D1" w:rsidRPr="004A37D1" w:rsidRDefault="004A37D1" w:rsidP="004A37D1">
            <w:pPr>
              <w:spacing w:after="200" w:line="276" w:lineRule="auto"/>
              <w:rPr>
                <w:rFonts w:ascii="Arial" w:hAnsi="Arial" w:cs="Arial"/>
                <w:sz w:val="21"/>
                <w:szCs w:val="21"/>
              </w:rPr>
            </w:pPr>
            <w:r w:rsidRPr="004A37D1">
              <w:rPr>
                <w:rFonts w:ascii="Arial" w:hAnsi="Arial" w:cs="Arial"/>
                <w:sz w:val="21"/>
                <w:szCs w:val="21"/>
              </w:rPr>
              <w:t>Total FTE for Department of Seniors, Disability Services and Aboriginal and Torres Strait Islander Partnerships</w:t>
            </w:r>
          </w:p>
          <w:p w14:paraId="67561C8A" w14:textId="77777777" w:rsidR="004A37D1" w:rsidRPr="004A37D1" w:rsidRDefault="004A37D1" w:rsidP="004A37D1">
            <w:pPr>
              <w:spacing w:after="120" w:line="276" w:lineRule="auto"/>
              <w:ind w:left="360" w:hanging="360"/>
              <w:contextualSpacing/>
              <w:rPr>
                <w:rFonts w:ascii="Arial" w:hAnsi="Arial" w:cs="Arial"/>
                <w:sz w:val="18"/>
                <w:szCs w:val="18"/>
              </w:rPr>
            </w:pPr>
            <w:r w:rsidRPr="004A37D1">
              <w:rPr>
                <w:rFonts w:ascii="Arial" w:hAnsi="Arial" w:cs="Arial"/>
                <w:sz w:val="18"/>
                <w:szCs w:val="18"/>
              </w:rPr>
              <w:t xml:space="preserve">*Number based on the last full pay fortnight – ending 17 June 2022. </w:t>
            </w:r>
          </w:p>
        </w:tc>
        <w:tc>
          <w:tcPr>
            <w:tcW w:w="2101" w:type="dxa"/>
            <w:vAlign w:val="center"/>
          </w:tcPr>
          <w:p w14:paraId="6D91D71C" w14:textId="77777777" w:rsidR="004A37D1" w:rsidRPr="004A37D1" w:rsidRDefault="004A37D1" w:rsidP="004A37D1">
            <w:pPr>
              <w:spacing w:after="200" w:line="276" w:lineRule="auto"/>
              <w:jc w:val="center"/>
              <w:rPr>
                <w:rFonts w:ascii="Arial" w:hAnsi="Arial" w:cs="Arial"/>
                <w:sz w:val="21"/>
                <w:szCs w:val="21"/>
              </w:rPr>
            </w:pPr>
            <w:r w:rsidRPr="004A37D1">
              <w:rPr>
                <w:rFonts w:ascii="Arial" w:hAnsi="Arial" w:cs="Arial"/>
                <w:sz w:val="21"/>
                <w:szCs w:val="21"/>
              </w:rPr>
              <w:t>1,959*</w:t>
            </w:r>
          </w:p>
        </w:tc>
      </w:tr>
    </w:tbl>
    <w:p w14:paraId="19E0AF2D" w14:textId="77777777" w:rsidR="004A37D1" w:rsidRPr="004A37D1" w:rsidRDefault="004A37D1" w:rsidP="004A37D1">
      <w:pPr>
        <w:spacing w:before="360" w:after="120" w:line="240" w:lineRule="auto"/>
        <w:rPr>
          <w:rFonts w:ascii="Arial" w:eastAsia="Calibri" w:hAnsi="Arial" w:cs="Arial"/>
          <w:b/>
          <w:bCs/>
          <w:sz w:val="21"/>
          <w:szCs w:val="21"/>
          <w:lang w:val="en-US"/>
        </w:rPr>
      </w:pPr>
      <w:r w:rsidRPr="004A37D1">
        <w:rPr>
          <w:rFonts w:ascii="Arial" w:eastAsia="Calibri" w:hAnsi="Arial" w:cs="Arial"/>
          <w:b/>
          <w:bCs/>
          <w:sz w:val="21"/>
          <w:szCs w:val="21"/>
          <w:lang w:val="en-US"/>
        </w:rPr>
        <w:t>Employment diversity</w:t>
      </w:r>
    </w:p>
    <w:p w14:paraId="5BAD166E" w14:textId="77777777" w:rsidR="004A37D1" w:rsidRPr="004A37D1" w:rsidRDefault="004A37D1" w:rsidP="004A37D1">
      <w:pPr>
        <w:spacing w:after="120" w:line="240" w:lineRule="auto"/>
        <w:rPr>
          <w:rFonts w:ascii="Arial" w:eastAsia="Calibri" w:hAnsi="Arial" w:cs="Arial"/>
          <w:sz w:val="21"/>
          <w:szCs w:val="21"/>
          <w:vertAlign w:val="superscript"/>
          <w:lang w:val="en-US"/>
        </w:rPr>
      </w:pPr>
      <w:r w:rsidRPr="004A37D1">
        <w:rPr>
          <w:rFonts w:ascii="Arial" w:eastAsia="Calibri" w:hAnsi="Arial" w:cs="Arial"/>
          <w:sz w:val="21"/>
          <w:szCs w:val="21"/>
          <w:lang w:val="en-US"/>
        </w:rPr>
        <w:t>Target group data</w:t>
      </w:r>
      <w:r w:rsidRPr="004A37D1">
        <w:rPr>
          <w:rFonts w:ascii="Arial" w:eastAsia="Calibri" w:hAnsi="Arial" w:cs="Arial"/>
          <w:sz w:val="21"/>
          <w:szCs w:val="21"/>
          <w:vertAlign w:val="superscript"/>
          <w:lang w:val="en-US"/>
        </w:rPr>
        <w:t>1</w:t>
      </w:r>
    </w:p>
    <w:tbl>
      <w:tblPr>
        <w:tblStyle w:val="TableGrid16"/>
        <w:tblW w:w="10485" w:type="dxa"/>
        <w:tblLook w:val="04A0" w:firstRow="1" w:lastRow="0" w:firstColumn="1" w:lastColumn="0" w:noHBand="0" w:noVBand="1"/>
      </w:tblPr>
      <w:tblGrid>
        <w:gridCol w:w="3964"/>
        <w:gridCol w:w="3119"/>
        <w:gridCol w:w="3402"/>
      </w:tblGrid>
      <w:tr w:rsidR="00695E3F" w:rsidRPr="004A37D1" w14:paraId="57773C64" w14:textId="77777777" w:rsidTr="004A37D1">
        <w:tc>
          <w:tcPr>
            <w:tcW w:w="3964" w:type="dxa"/>
            <w:shd w:val="clear" w:color="auto" w:fill="F2F2F2"/>
          </w:tcPr>
          <w:p w14:paraId="1A4265EF" w14:textId="77777777" w:rsidR="004A37D1" w:rsidRPr="004A37D1" w:rsidRDefault="004A37D1" w:rsidP="004A37D1">
            <w:pPr>
              <w:rPr>
                <w:rFonts w:ascii="Arial" w:hAnsi="Arial" w:cs="Arial"/>
                <w:b/>
                <w:bCs/>
                <w:sz w:val="21"/>
                <w:szCs w:val="21"/>
              </w:rPr>
            </w:pPr>
            <w:r w:rsidRPr="004A37D1">
              <w:rPr>
                <w:rFonts w:ascii="Arial" w:hAnsi="Arial" w:cs="Arial"/>
                <w:b/>
                <w:bCs/>
                <w:sz w:val="21"/>
                <w:szCs w:val="21"/>
              </w:rPr>
              <w:t>Gender</w:t>
            </w:r>
          </w:p>
        </w:tc>
        <w:tc>
          <w:tcPr>
            <w:tcW w:w="3119" w:type="dxa"/>
            <w:shd w:val="clear" w:color="auto" w:fill="F2F2F2"/>
          </w:tcPr>
          <w:p w14:paraId="004D51DA" w14:textId="77777777" w:rsidR="004A37D1" w:rsidRPr="004A37D1" w:rsidRDefault="004A37D1" w:rsidP="004A37D1">
            <w:pPr>
              <w:jc w:val="center"/>
              <w:rPr>
                <w:rFonts w:ascii="Arial" w:hAnsi="Arial" w:cs="Arial"/>
                <w:b/>
                <w:bCs/>
                <w:sz w:val="21"/>
                <w:szCs w:val="21"/>
              </w:rPr>
            </w:pPr>
            <w:r w:rsidRPr="004A37D1">
              <w:rPr>
                <w:rFonts w:ascii="Arial" w:hAnsi="Arial" w:cs="Arial"/>
                <w:b/>
                <w:bCs/>
                <w:sz w:val="21"/>
                <w:szCs w:val="21"/>
              </w:rPr>
              <w:t>Number</w:t>
            </w:r>
          </w:p>
          <w:p w14:paraId="3149CB5F" w14:textId="77777777" w:rsidR="004A37D1" w:rsidRPr="004A37D1" w:rsidRDefault="004A37D1" w:rsidP="004A37D1">
            <w:pPr>
              <w:jc w:val="center"/>
              <w:rPr>
                <w:rFonts w:ascii="Arial" w:hAnsi="Arial" w:cs="Arial"/>
                <w:b/>
                <w:bCs/>
                <w:sz w:val="21"/>
                <w:szCs w:val="21"/>
              </w:rPr>
            </w:pPr>
            <w:r w:rsidRPr="004A37D1">
              <w:rPr>
                <w:rFonts w:ascii="Arial" w:hAnsi="Arial" w:cs="Arial"/>
                <w:b/>
                <w:bCs/>
                <w:sz w:val="21"/>
                <w:szCs w:val="21"/>
              </w:rPr>
              <w:t>(Headcount)</w:t>
            </w:r>
          </w:p>
        </w:tc>
        <w:tc>
          <w:tcPr>
            <w:tcW w:w="3402" w:type="dxa"/>
            <w:shd w:val="clear" w:color="auto" w:fill="F2F2F2"/>
          </w:tcPr>
          <w:p w14:paraId="770BD7AC" w14:textId="77777777" w:rsidR="004A37D1" w:rsidRPr="004A37D1" w:rsidRDefault="004A37D1" w:rsidP="004A37D1">
            <w:pPr>
              <w:jc w:val="center"/>
              <w:rPr>
                <w:rFonts w:ascii="Arial" w:hAnsi="Arial" w:cs="Arial"/>
                <w:b/>
                <w:bCs/>
                <w:sz w:val="21"/>
                <w:szCs w:val="21"/>
              </w:rPr>
            </w:pPr>
            <w:r w:rsidRPr="004A37D1">
              <w:rPr>
                <w:rFonts w:ascii="Arial" w:hAnsi="Arial" w:cs="Arial"/>
                <w:b/>
                <w:bCs/>
                <w:sz w:val="21"/>
                <w:szCs w:val="21"/>
              </w:rPr>
              <w:t>Percentage of total workforce</w:t>
            </w:r>
          </w:p>
          <w:p w14:paraId="1C5DD9BF" w14:textId="77777777" w:rsidR="004A37D1" w:rsidRPr="004A37D1" w:rsidRDefault="004A37D1" w:rsidP="004A37D1">
            <w:pPr>
              <w:jc w:val="center"/>
              <w:rPr>
                <w:rFonts w:ascii="Arial" w:hAnsi="Arial" w:cs="Arial"/>
                <w:b/>
                <w:bCs/>
                <w:sz w:val="21"/>
                <w:szCs w:val="21"/>
              </w:rPr>
            </w:pPr>
            <w:r w:rsidRPr="004A37D1">
              <w:rPr>
                <w:rFonts w:ascii="Arial" w:hAnsi="Arial" w:cs="Arial"/>
                <w:b/>
                <w:bCs/>
                <w:sz w:val="21"/>
                <w:szCs w:val="21"/>
              </w:rPr>
              <w:t>(Calculated on headcount)</w:t>
            </w:r>
          </w:p>
        </w:tc>
      </w:tr>
      <w:tr w:rsidR="00695E3F" w:rsidRPr="004A37D1" w14:paraId="33EC483B" w14:textId="77777777" w:rsidTr="00CB0C7B">
        <w:tc>
          <w:tcPr>
            <w:tcW w:w="3964" w:type="dxa"/>
          </w:tcPr>
          <w:p w14:paraId="1454B786" w14:textId="77777777" w:rsidR="004A37D1" w:rsidRPr="004A37D1" w:rsidRDefault="004A37D1" w:rsidP="004A37D1">
            <w:pPr>
              <w:spacing w:after="200" w:line="276" w:lineRule="auto"/>
              <w:rPr>
                <w:rFonts w:ascii="Arial" w:hAnsi="Arial" w:cs="Arial"/>
                <w:sz w:val="21"/>
                <w:szCs w:val="21"/>
              </w:rPr>
            </w:pPr>
            <w:r w:rsidRPr="004A37D1">
              <w:rPr>
                <w:rFonts w:ascii="Arial" w:hAnsi="Arial" w:cs="Arial"/>
                <w:sz w:val="21"/>
                <w:szCs w:val="21"/>
              </w:rPr>
              <w:t>Woman</w:t>
            </w:r>
          </w:p>
        </w:tc>
        <w:tc>
          <w:tcPr>
            <w:tcW w:w="3119" w:type="dxa"/>
          </w:tcPr>
          <w:p w14:paraId="11115870" w14:textId="77777777" w:rsidR="004A37D1" w:rsidRPr="004A37D1" w:rsidRDefault="004A37D1" w:rsidP="004A37D1">
            <w:pPr>
              <w:jc w:val="center"/>
              <w:rPr>
                <w:rFonts w:ascii="Arial" w:hAnsi="Arial" w:cs="Arial"/>
                <w:sz w:val="21"/>
                <w:szCs w:val="21"/>
              </w:rPr>
            </w:pPr>
            <w:r w:rsidRPr="004A37D1">
              <w:rPr>
                <w:rFonts w:ascii="Arial" w:hAnsi="Arial" w:cs="Arial"/>
                <w:sz w:val="21"/>
                <w:szCs w:val="21"/>
              </w:rPr>
              <w:t>1,321</w:t>
            </w:r>
          </w:p>
        </w:tc>
        <w:tc>
          <w:tcPr>
            <w:tcW w:w="3402" w:type="dxa"/>
          </w:tcPr>
          <w:p w14:paraId="617A8279" w14:textId="77777777" w:rsidR="004A37D1" w:rsidRPr="004A37D1" w:rsidRDefault="004A37D1" w:rsidP="004A37D1">
            <w:pPr>
              <w:jc w:val="center"/>
              <w:rPr>
                <w:rFonts w:ascii="Arial" w:hAnsi="Arial" w:cs="Arial"/>
                <w:sz w:val="21"/>
                <w:szCs w:val="21"/>
              </w:rPr>
            </w:pPr>
            <w:r w:rsidRPr="004A37D1">
              <w:rPr>
                <w:rFonts w:ascii="Arial" w:hAnsi="Arial" w:cs="Arial"/>
                <w:sz w:val="21"/>
                <w:szCs w:val="21"/>
              </w:rPr>
              <w:t>66.38%</w:t>
            </w:r>
          </w:p>
        </w:tc>
      </w:tr>
      <w:tr w:rsidR="00695E3F" w:rsidRPr="004A37D1" w14:paraId="2BE04305" w14:textId="77777777" w:rsidTr="00CB0C7B">
        <w:tc>
          <w:tcPr>
            <w:tcW w:w="3964" w:type="dxa"/>
          </w:tcPr>
          <w:p w14:paraId="0A9BC4F8" w14:textId="77777777" w:rsidR="004A37D1" w:rsidRPr="004A37D1" w:rsidRDefault="004A37D1" w:rsidP="004A37D1">
            <w:pPr>
              <w:spacing w:after="200" w:line="276" w:lineRule="auto"/>
              <w:rPr>
                <w:rFonts w:ascii="Arial" w:hAnsi="Arial" w:cs="Arial"/>
                <w:sz w:val="21"/>
                <w:szCs w:val="21"/>
              </w:rPr>
            </w:pPr>
            <w:r w:rsidRPr="004A37D1">
              <w:rPr>
                <w:rFonts w:ascii="Arial" w:hAnsi="Arial" w:cs="Arial"/>
                <w:sz w:val="21"/>
                <w:szCs w:val="21"/>
              </w:rPr>
              <w:t>Man</w:t>
            </w:r>
          </w:p>
        </w:tc>
        <w:tc>
          <w:tcPr>
            <w:tcW w:w="3119" w:type="dxa"/>
          </w:tcPr>
          <w:p w14:paraId="14E02727" w14:textId="77777777" w:rsidR="004A37D1" w:rsidRPr="004A37D1" w:rsidRDefault="004A37D1" w:rsidP="004A37D1">
            <w:pPr>
              <w:jc w:val="center"/>
              <w:rPr>
                <w:rFonts w:ascii="Arial" w:hAnsi="Arial" w:cs="Arial"/>
                <w:sz w:val="21"/>
                <w:szCs w:val="21"/>
              </w:rPr>
            </w:pPr>
            <w:r w:rsidRPr="004A37D1">
              <w:rPr>
                <w:rFonts w:ascii="Arial" w:hAnsi="Arial" w:cs="Arial"/>
                <w:sz w:val="21"/>
                <w:szCs w:val="21"/>
              </w:rPr>
              <w:t>667</w:t>
            </w:r>
          </w:p>
        </w:tc>
        <w:tc>
          <w:tcPr>
            <w:tcW w:w="3402" w:type="dxa"/>
          </w:tcPr>
          <w:p w14:paraId="764ABA76" w14:textId="77777777" w:rsidR="004A37D1" w:rsidRPr="004A37D1" w:rsidRDefault="004A37D1" w:rsidP="004A37D1">
            <w:pPr>
              <w:jc w:val="center"/>
              <w:rPr>
                <w:rFonts w:ascii="Arial" w:hAnsi="Arial" w:cs="Arial"/>
                <w:sz w:val="21"/>
                <w:szCs w:val="21"/>
              </w:rPr>
            </w:pPr>
            <w:r w:rsidRPr="004A37D1">
              <w:rPr>
                <w:rFonts w:ascii="Arial" w:hAnsi="Arial" w:cs="Arial"/>
                <w:sz w:val="21"/>
                <w:szCs w:val="21"/>
              </w:rPr>
              <w:t>33.52%</w:t>
            </w:r>
          </w:p>
        </w:tc>
      </w:tr>
      <w:tr w:rsidR="00695E3F" w:rsidRPr="004A37D1" w14:paraId="3779DC44" w14:textId="77777777" w:rsidTr="00CB0C7B">
        <w:tc>
          <w:tcPr>
            <w:tcW w:w="3964" w:type="dxa"/>
            <w:tcBorders>
              <w:bottom w:val="single" w:sz="4" w:space="0" w:color="auto"/>
            </w:tcBorders>
          </w:tcPr>
          <w:p w14:paraId="5577DDEC" w14:textId="77777777" w:rsidR="004A37D1" w:rsidRPr="004A37D1" w:rsidRDefault="004A37D1" w:rsidP="004A37D1">
            <w:pPr>
              <w:spacing w:after="200" w:line="276" w:lineRule="auto"/>
              <w:rPr>
                <w:rFonts w:ascii="Arial" w:hAnsi="Arial" w:cs="Arial"/>
                <w:sz w:val="21"/>
                <w:szCs w:val="21"/>
              </w:rPr>
            </w:pPr>
            <w:r w:rsidRPr="004A37D1">
              <w:rPr>
                <w:rFonts w:ascii="Arial" w:hAnsi="Arial" w:cs="Arial"/>
                <w:sz w:val="21"/>
                <w:szCs w:val="21"/>
              </w:rPr>
              <w:t>Non-binary</w:t>
            </w:r>
          </w:p>
        </w:tc>
        <w:tc>
          <w:tcPr>
            <w:tcW w:w="3119" w:type="dxa"/>
          </w:tcPr>
          <w:p w14:paraId="72898F08" w14:textId="77777777" w:rsidR="004A37D1" w:rsidRPr="004A37D1" w:rsidRDefault="004A37D1" w:rsidP="004A37D1">
            <w:pPr>
              <w:jc w:val="center"/>
              <w:rPr>
                <w:rFonts w:ascii="Arial" w:hAnsi="Arial" w:cs="Arial"/>
                <w:sz w:val="21"/>
                <w:szCs w:val="21"/>
              </w:rPr>
            </w:pPr>
            <w:r w:rsidRPr="004A37D1">
              <w:rPr>
                <w:rFonts w:ascii="Arial" w:hAnsi="Arial" w:cs="Arial"/>
                <w:sz w:val="21"/>
                <w:szCs w:val="21"/>
              </w:rPr>
              <w:t>&lt;5</w:t>
            </w:r>
          </w:p>
        </w:tc>
        <w:tc>
          <w:tcPr>
            <w:tcW w:w="3402" w:type="dxa"/>
          </w:tcPr>
          <w:p w14:paraId="2241201E" w14:textId="77777777" w:rsidR="004A37D1" w:rsidRPr="004A37D1" w:rsidRDefault="004A37D1" w:rsidP="004A37D1">
            <w:pPr>
              <w:jc w:val="center"/>
              <w:rPr>
                <w:rFonts w:ascii="Arial" w:hAnsi="Arial" w:cs="Arial"/>
                <w:sz w:val="21"/>
                <w:szCs w:val="21"/>
              </w:rPr>
            </w:pPr>
            <w:r w:rsidRPr="004A37D1">
              <w:rPr>
                <w:rFonts w:ascii="Arial" w:hAnsi="Arial" w:cs="Arial"/>
                <w:sz w:val="21"/>
                <w:szCs w:val="21"/>
              </w:rPr>
              <w:t>0.10%</w:t>
            </w:r>
          </w:p>
        </w:tc>
      </w:tr>
    </w:tbl>
    <w:p w14:paraId="5903ED7A" w14:textId="77777777" w:rsidR="004A37D1" w:rsidRPr="004A37D1" w:rsidRDefault="004A37D1" w:rsidP="004A37D1">
      <w:pPr>
        <w:spacing w:after="200" w:line="276" w:lineRule="auto"/>
        <w:rPr>
          <w:rFonts w:ascii="Arial" w:eastAsia="Times New Roman" w:hAnsi="Arial" w:cs="Arial"/>
          <w:sz w:val="21"/>
          <w:szCs w:val="21"/>
          <w:lang w:eastAsia="en-AU"/>
        </w:rPr>
      </w:pPr>
    </w:p>
    <w:tbl>
      <w:tblPr>
        <w:tblStyle w:val="TableGrid16"/>
        <w:tblW w:w="10485" w:type="dxa"/>
        <w:tblLook w:val="04A0" w:firstRow="1" w:lastRow="0" w:firstColumn="1" w:lastColumn="0" w:noHBand="0" w:noVBand="1"/>
      </w:tblPr>
      <w:tblGrid>
        <w:gridCol w:w="4248"/>
        <w:gridCol w:w="2835"/>
        <w:gridCol w:w="3402"/>
      </w:tblGrid>
      <w:tr w:rsidR="00695E3F" w:rsidRPr="004A37D1" w14:paraId="42EF3921" w14:textId="77777777" w:rsidTr="004A37D1">
        <w:trPr>
          <w:tblHeader/>
        </w:trPr>
        <w:tc>
          <w:tcPr>
            <w:tcW w:w="4248" w:type="dxa"/>
            <w:shd w:val="clear" w:color="auto" w:fill="F2F2F2"/>
          </w:tcPr>
          <w:p w14:paraId="06BA33D2" w14:textId="77777777" w:rsidR="004A37D1" w:rsidRPr="004A37D1" w:rsidRDefault="004A37D1" w:rsidP="004A37D1">
            <w:pPr>
              <w:rPr>
                <w:rFonts w:ascii="Arial" w:hAnsi="Arial" w:cs="Arial"/>
                <w:b/>
                <w:bCs/>
                <w:sz w:val="21"/>
                <w:szCs w:val="21"/>
              </w:rPr>
            </w:pPr>
            <w:r w:rsidRPr="004A37D1">
              <w:rPr>
                <w:rFonts w:ascii="Arial" w:hAnsi="Arial" w:cs="Arial"/>
                <w:b/>
                <w:bCs/>
                <w:sz w:val="21"/>
                <w:szCs w:val="21"/>
              </w:rPr>
              <w:lastRenderedPageBreak/>
              <w:t>Diversity groups</w:t>
            </w:r>
          </w:p>
        </w:tc>
        <w:tc>
          <w:tcPr>
            <w:tcW w:w="2835" w:type="dxa"/>
            <w:shd w:val="clear" w:color="auto" w:fill="F2F2F2"/>
          </w:tcPr>
          <w:p w14:paraId="3062B23E" w14:textId="77777777" w:rsidR="004A37D1" w:rsidRPr="004A37D1" w:rsidRDefault="004A37D1" w:rsidP="004A37D1">
            <w:pPr>
              <w:jc w:val="center"/>
              <w:rPr>
                <w:rFonts w:ascii="Arial" w:hAnsi="Arial" w:cs="Arial"/>
                <w:b/>
                <w:bCs/>
                <w:sz w:val="21"/>
                <w:szCs w:val="21"/>
              </w:rPr>
            </w:pPr>
            <w:r w:rsidRPr="004A37D1">
              <w:rPr>
                <w:rFonts w:ascii="Arial" w:hAnsi="Arial" w:cs="Arial"/>
                <w:b/>
                <w:bCs/>
                <w:sz w:val="21"/>
                <w:szCs w:val="21"/>
              </w:rPr>
              <w:t>Number</w:t>
            </w:r>
          </w:p>
          <w:p w14:paraId="555CBBC7" w14:textId="77777777" w:rsidR="004A37D1" w:rsidRPr="004A37D1" w:rsidRDefault="004A37D1" w:rsidP="004A37D1">
            <w:pPr>
              <w:jc w:val="center"/>
              <w:rPr>
                <w:rFonts w:ascii="Arial" w:hAnsi="Arial" w:cs="Arial"/>
                <w:b/>
                <w:bCs/>
                <w:sz w:val="21"/>
                <w:szCs w:val="21"/>
              </w:rPr>
            </w:pPr>
            <w:r w:rsidRPr="004A37D1">
              <w:rPr>
                <w:rFonts w:ascii="Arial" w:hAnsi="Arial" w:cs="Arial"/>
                <w:b/>
                <w:bCs/>
                <w:sz w:val="21"/>
                <w:szCs w:val="21"/>
              </w:rPr>
              <w:t>(Headcount)</w:t>
            </w:r>
          </w:p>
        </w:tc>
        <w:tc>
          <w:tcPr>
            <w:tcW w:w="3402" w:type="dxa"/>
            <w:shd w:val="clear" w:color="auto" w:fill="F2F2F2"/>
          </w:tcPr>
          <w:p w14:paraId="619CB787" w14:textId="77777777" w:rsidR="004A37D1" w:rsidRPr="004A37D1" w:rsidRDefault="004A37D1" w:rsidP="004A37D1">
            <w:pPr>
              <w:jc w:val="center"/>
              <w:rPr>
                <w:rFonts w:ascii="Arial" w:hAnsi="Arial" w:cs="Arial"/>
                <w:b/>
                <w:bCs/>
                <w:sz w:val="21"/>
                <w:szCs w:val="21"/>
              </w:rPr>
            </w:pPr>
            <w:r w:rsidRPr="004A37D1">
              <w:rPr>
                <w:rFonts w:ascii="Arial" w:hAnsi="Arial" w:cs="Arial"/>
                <w:b/>
                <w:bCs/>
                <w:sz w:val="21"/>
                <w:szCs w:val="21"/>
              </w:rPr>
              <w:t>Percentage of total workforce</w:t>
            </w:r>
          </w:p>
          <w:p w14:paraId="5439A802" w14:textId="77777777" w:rsidR="004A37D1" w:rsidRPr="004A37D1" w:rsidRDefault="004A37D1" w:rsidP="004A37D1">
            <w:pPr>
              <w:jc w:val="center"/>
              <w:rPr>
                <w:rFonts w:ascii="Arial" w:hAnsi="Arial" w:cs="Arial"/>
                <w:b/>
                <w:bCs/>
                <w:sz w:val="21"/>
                <w:szCs w:val="21"/>
              </w:rPr>
            </w:pPr>
            <w:r w:rsidRPr="004A37D1">
              <w:rPr>
                <w:rFonts w:ascii="Arial" w:hAnsi="Arial" w:cs="Arial"/>
                <w:b/>
                <w:bCs/>
                <w:sz w:val="21"/>
                <w:szCs w:val="21"/>
              </w:rPr>
              <w:t>(Calculated on headcount)</w:t>
            </w:r>
          </w:p>
        </w:tc>
      </w:tr>
      <w:tr w:rsidR="00695E3F" w:rsidRPr="004A37D1" w14:paraId="5A9208D8" w14:textId="77777777" w:rsidTr="00CB0C7B">
        <w:tc>
          <w:tcPr>
            <w:tcW w:w="4248" w:type="dxa"/>
          </w:tcPr>
          <w:p w14:paraId="6E6F901C" w14:textId="77777777" w:rsidR="004A37D1" w:rsidRPr="004A37D1" w:rsidRDefault="004A37D1" w:rsidP="004A37D1">
            <w:pPr>
              <w:spacing w:after="200" w:line="276" w:lineRule="auto"/>
              <w:rPr>
                <w:rFonts w:ascii="Arial" w:hAnsi="Arial" w:cs="Arial"/>
                <w:sz w:val="21"/>
                <w:szCs w:val="21"/>
              </w:rPr>
            </w:pPr>
            <w:r w:rsidRPr="004A37D1">
              <w:rPr>
                <w:rFonts w:ascii="Arial" w:hAnsi="Arial" w:cs="Arial"/>
                <w:sz w:val="21"/>
                <w:szCs w:val="21"/>
              </w:rPr>
              <w:t>Women</w:t>
            </w:r>
          </w:p>
        </w:tc>
        <w:tc>
          <w:tcPr>
            <w:tcW w:w="2835" w:type="dxa"/>
          </w:tcPr>
          <w:p w14:paraId="48F87C4E" w14:textId="77777777" w:rsidR="004A37D1" w:rsidRPr="004A37D1" w:rsidRDefault="004A37D1" w:rsidP="004A37D1">
            <w:pPr>
              <w:jc w:val="center"/>
              <w:rPr>
                <w:rFonts w:ascii="Arial" w:hAnsi="Arial" w:cs="Arial"/>
                <w:sz w:val="21"/>
                <w:szCs w:val="21"/>
              </w:rPr>
            </w:pPr>
            <w:r w:rsidRPr="004A37D1">
              <w:rPr>
                <w:rFonts w:ascii="Arial" w:hAnsi="Arial" w:cs="Arial"/>
                <w:sz w:val="21"/>
                <w:szCs w:val="21"/>
              </w:rPr>
              <w:t>1,324</w:t>
            </w:r>
          </w:p>
        </w:tc>
        <w:tc>
          <w:tcPr>
            <w:tcW w:w="3402" w:type="dxa"/>
          </w:tcPr>
          <w:p w14:paraId="7FC5992B" w14:textId="77777777" w:rsidR="004A37D1" w:rsidRPr="004A37D1" w:rsidRDefault="004A37D1" w:rsidP="004A37D1">
            <w:pPr>
              <w:jc w:val="center"/>
              <w:rPr>
                <w:rFonts w:ascii="Arial" w:hAnsi="Arial" w:cs="Arial"/>
                <w:sz w:val="21"/>
                <w:szCs w:val="21"/>
              </w:rPr>
            </w:pPr>
            <w:r w:rsidRPr="004A37D1">
              <w:rPr>
                <w:rFonts w:ascii="Arial" w:hAnsi="Arial" w:cs="Arial"/>
                <w:sz w:val="21"/>
                <w:szCs w:val="21"/>
              </w:rPr>
              <w:t>66.53%</w:t>
            </w:r>
          </w:p>
        </w:tc>
      </w:tr>
      <w:tr w:rsidR="00695E3F" w:rsidRPr="004A37D1" w14:paraId="17BA1D55" w14:textId="77777777" w:rsidTr="00CB0C7B">
        <w:tc>
          <w:tcPr>
            <w:tcW w:w="4248" w:type="dxa"/>
          </w:tcPr>
          <w:p w14:paraId="2F6A3AFC" w14:textId="77777777" w:rsidR="004A37D1" w:rsidRPr="004A37D1" w:rsidRDefault="004A37D1" w:rsidP="004A37D1">
            <w:pPr>
              <w:spacing w:after="200" w:line="276" w:lineRule="auto"/>
              <w:rPr>
                <w:rFonts w:ascii="Arial" w:hAnsi="Arial" w:cs="Arial"/>
                <w:sz w:val="21"/>
                <w:szCs w:val="21"/>
              </w:rPr>
            </w:pPr>
            <w:r w:rsidRPr="004A37D1">
              <w:rPr>
                <w:rFonts w:ascii="Arial" w:hAnsi="Arial" w:cs="Arial"/>
                <w:sz w:val="21"/>
                <w:szCs w:val="21"/>
              </w:rPr>
              <w:t>Aboriginal peoples and Torres Strait Islander peoples</w:t>
            </w:r>
          </w:p>
        </w:tc>
        <w:tc>
          <w:tcPr>
            <w:tcW w:w="2835" w:type="dxa"/>
          </w:tcPr>
          <w:p w14:paraId="19659A55" w14:textId="77777777" w:rsidR="004A37D1" w:rsidRPr="004A37D1" w:rsidRDefault="004A37D1" w:rsidP="004A37D1">
            <w:pPr>
              <w:jc w:val="center"/>
              <w:rPr>
                <w:rFonts w:ascii="Arial" w:hAnsi="Arial" w:cs="Arial"/>
                <w:sz w:val="21"/>
                <w:szCs w:val="21"/>
              </w:rPr>
            </w:pPr>
            <w:r w:rsidRPr="004A37D1">
              <w:rPr>
                <w:rFonts w:ascii="Arial" w:hAnsi="Arial" w:cs="Arial"/>
                <w:sz w:val="21"/>
                <w:szCs w:val="21"/>
              </w:rPr>
              <w:t>126</w:t>
            </w:r>
          </w:p>
        </w:tc>
        <w:tc>
          <w:tcPr>
            <w:tcW w:w="3402" w:type="dxa"/>
          </w:tcPr>
          <w:p w14:paraId="69DE7EFA" w14:textId="77777777" w:rsidR="004A37D1" w:rsidRPr="004A37D1" w:rsidRDefault="004A37D1" w:rsidP="004A37D1">
            <w:pPr>
              <w:jc w:val="center"/>
              <w:rPr>
                <w:rFonts w:ascii="Arial" w:hAnsi="Arial" w:cs="Arial"/>
                <w:sz w:val="21"/>
                <w:szCs w:val="21"/>
              </w:rPr>
            </w:pPr>
            <w:r w:rsidRPr="004A37D1">
              <w:rPr>
                <w:rFonts w:ascii="Arial" w:hAnsi="Arial" w:cs="Arial"/>
                <w:sz w:val="21"/>
                <w:szCs w:val="21"/>
              </w:rPr>
              <w:t>6.33%</w:t>
            </w:r>
          </w:p>
        </w:tc>
      </w:tr>
      <w:tr w:rsidR="00695E3F" w:rsidRPr="004A37D1" w14:paraId="2DE9AD83" w14:textId="77777777" w:rsidTr="00CB0C7B">
        <w:tc>
          <w:tcPr>
            <w:tcW w:w="4248" w:type="dxa"/>
          </w:tcPr>
          <w:p w14:paraId="5A03F78E" w14:textId="77777777" w:rsidR="004A37D1" w:rsidRPr="004A37D1" w:rsidRDefault="004A37D1" w:rsidP="004A37D1">
            <w:pPr>
              <w:spacing w:after="200" w:line="276" w:lineRule="auto"/>
              <w:rPr>
                <w:rFonts w:ascii="Arial" w:hAnsi="Arial" w:cs="Arial"/>
                <w:sz w:val="21"/>
                <w:szCs w:val="21"/>
              </w:rPr>
            </w:pPr>
            <w:r w:rsidRPr="004A37D1">
              <w:rPr>
                <w:rFonts w:ascii="Arial" w:hAnsi="Arial" w:cs="Arial"/>
                <w:sz w:val="21"/>
                <w:szCs w:val="21"/>
              </w:rPr>
              <w:t>People with disability</w:t>
            </w:r>
          </w:p>
        </w:tc>
        <w:tc>
          <w:tcPr>
            <w:tcW w:w="2835" w:type="dxa"/>
          </w:tcPr>
          <w:p w14:paraId="653CECD5" w14:textId="77777777" w:rsidR="004A37D1" w:rsidRPr="004A37D1" w:rsidRDefault="004A37D1" w:rsidP="004A37D1">
            <w:pPr>
              <w:jc w:val="center"/>
              <w:rPr>
                <w:rFonts w:ascii="Arial" w:hAnsi="Arial" w:cs="Arial"/>
                <w:sz w:val="21"/>
                <w:szCs w:val="21"/>
              </w:rPr>
            </w:pPr>
            <w:r w:rsidRPr="004A37D1">
              <w:rPr>
                <w:rFonts w:ascii="Arial" w:hAnsi="Arial" w:cs="Arial"/>
                <w:sz w:val="21"/>
                <w:szCs w:val="21"/>
              </w:rPr>
              <w:t>100</w:t>
            </w:r>
          </w:p>
        </w:tc>
        <w:tc>
          <w:tcPr>
            <w:tcW w:w="3402" w:type="dxa"/>
          </w:tcPr>
          <w:p w14:paraId="6D5696F2" w14:textId="77777777" w:rsidR="004A37D1" w:rsidRPr="004A37D1" w:rsidRDefault="004A37D1" w:rsidP="004A37D1">
            <w:pPr>
              <w:jc w:val="center"/>
              <w:rPr>
                <w:rFonts w:ascii="Arial" w:hAnsi="Arial" w:cs="Arial"/>
                <w:sz w:val="21"/>
                <w:szCs w:val="21"/>
              </w:rPr>
            </w:pPr>
            <w:r w:rsidRPr="004A37D1">
              <w:rPr>
                <w:rFonts w:ascii="Arial" w:hAnsi="Arial" w:cs="Arial"/>
                <w:sz w:val="21"/>
                <w:szCs w:val="21"/>
              </w:rPr>
              <w:t>5.03%</w:t>
            </w:r>
          </w:p>
        </w:tc>
      </w:tr>
      <w:tr w:rsidR="00695E3F" w:rsidRPr="004A37D1" w14:paraId="2D444089" w14:textId="77777777" w:rsidTr="00CB0C7B">
        <w:tc>
          <w:tcPr>
            <w:tcW w:w="4248" w:type="dxa"/>
          </w:tcPr>
          <w:p w14:paraId="78B24E22" w14:textId="77777777" w:rsidR="004A37D1" w:rsidRPr="004A37D1" w:rsidRDefault="004A37D1" w:rsidP="004A37D1">
            <w:pPr>
              <w:spacing w:after="200" w:line="276" w:lineRule="auto"/>
              <w:rPr>
                <w:rFonts w:ascii="Arial" w:hAnsi="Arial" w:cs="Arial"/>
                <w:sz w:val="21"/>
                <w:szCs w:val="21"/>
              </w:rPr>
            </w:pPr>
            <w:r w:rsidRPr="004A37D1">
              <w:rPr>
                <w:rFonts w:ascii="Arial" w:hAnsi="Arial" w:cs="Arial"/>
                <w:sz w:val="21"/>
                <w:szCs w:val="21"/>
              </w:rPr>
              <w:t xml:space="preserve">Culturally and linguistically </w:t>
            </w:r>
            <w:proofErr w:type="gramStart"/>
            <w:r w:rsidRPr="004A37D1">
              <w:rPr>
                <w:rFonts w:ascii="Arial" w:hAnsi="Arial" w:cs="Arial"/>
                <w:sz w:val="21"/>
                <w:szCs w:val="21"/>
              </w:rPr>
              <w:t>diverse—born</w:t>
            </w:r>
            <w:proofErr w:type="gramEnd"/>
            <w:r w:rsidRPr="004A37D1">
              <w:rPr>
                <w:rFonts w:ascii="Arial" w:hAnsi="Arial" w:cs="Arial"/>
                <w:sz w:val="21"/>
                <w:szCs w:val="21"/>
              </w:rPr>
              <w:t xml:space="preserve"> overseas </w:t>
            </w:r>
          </w:p>
        </w:tc>
        <w:tc>
          <w:tcPr>
            <w:tcW w:w="2835" w:type="dxa"/>
          </w:tcPr>
          <w:p w14:paraId="6B6C5C7E" w14:textId="77777777" w:rsidR="004A37D1" w:rsidRPr="004A37D1" w:rsidRDefault="004A37D1" w:rsidP="004A37D1">
            <w:pPr>
              <w:jc w:val="center"/>
              <w:rPr>
                <w:rFonts w:ascii="Arial" w:hAnsi="Arial" w:cs="Arial"/>
                <w:sz w:val="21"/>
                <w:szCs w:val="21"/>
              </w:rPr>
            </w:pPr>
            <w:r w:rsidRPr="004A37D1">
              <w:rPr>
                <w:rFonts w:ascii="Arial" w:hAnsi="Arial" w:cs="Arial"/>
                <w:sz w:val="21"/>
                <w:szCs w:val="21"/>
              </w:rPr>
              <w:t>58</w:t>
            </w:r>
          </w:p>
        </w:tc>
        <w:tc>
          <w:tcPr>
            <w:tcW w:w="3402" w:type="dxa"/>
          </w:tcPr>
          <w:p w14:paraId="37254E93" w14:textId="77777777" w:rsidR="004A37D1" w:rsidRPr="004A37D1" w:rsidRDefault="004A37D1" w:rsidP="004A37D1">
            <w:pPr>
              <w:jc w:val="center"/>
              <w:rPr>
                <w:rFonts w:ascii="Arial" w:hAnsi="Arial" w:cs="Arial"/>
                <w:sz w:val="21"/>
                <w:szCs w:val="21"/>
              </w:rPr>
            </w:pPr>
            <w:r w:rsidRPr="004A37D1">
              <w:rPr>
                <w:rFonts w:ascii="Arial" w:hAnsi="Arial" w:cs="Arial"/>
                <w:sz w:val="21"/>
                <w:szCs w:val="21"/>
              </w:rPr>
              <w:t>2.91%</w:t>
            </w:r>
          </w:p>
        </w:tc>
      </w:tr>
      <w:tr w:rsidR="00695E3F" w:rsidRPr="004A37D1" w14:paraId="13E7AC13" w14:textId="77777777" w:rsidTr="00CB0C7B">
        <w:tc>
          <w:tcPr>
            <w:tcW w:w="4248" w:type="dxa"/>
            <w:tcBorders>
              <w:bottom w:val="single" w:sz="4" w:space="0" w:color="auto"/>
            </w:tcBorders>
          </w:tcPr>
          <w:p w14:paraId="2E6C8729" w14:textId="77777777" w:rsidR="004A37D1" w:rsidRPr="004A37D1" w:rsidRDefault="004A37D1" w:rsidP="004A37D1">
            <w:pPr>
              <w:spacing w:after="200" w:line="276" w:lineRule="auto"/>
              <w:rPr>
                <w:rFonts w:ascii="Arial" w:hAnsi="Arial" w:cs="Arial"/>
                <w:sz w:val="21"/>
                <w:szCs w:val="21"/>
              </w:rPr>
            </w:pPr>
            <w:r w:rsidRPr="004A37D1">
              <w:rPr>
                <w:rFonts w:ascii="Arial" w:hAnsi="Arial" w:cs="Arial"/>
                <w:sz w:val="21"/>
                <w:szCs w:val="21"/>
              </w:rPr>
              <w:t>Culturally and linguistically diverse—speaks a language at home other than English (including Aboriginal and Torres Strait Islander languages or Australian South Sea Islander languages)</w:t>
            </w:r>
          </w:p>
        </w:tc>
        <w:tc>
          <w:tcPr>
            <w:tcW w:w="2835" w:type="dxa"/>
          </w:tcPr>
          <w:p w14:paraId="1489FD00" w14:textId="77777777" w:rsidR="004A37D1" w:rsidRPr="004A37D1" w:rsidRDefault="004A37D1" w:rsidP="004A37D1">
            <w:pPr>
              <w:ind w:firstLine="32"/>
              <w:jc w:val="center"/>
              <w:rPr>
                <w:rFonts w:ascii="Arial" w:hAnsi="Arial" w:cs="Arial"/>
                <w:sz w:val="21"/>
                <w:szCs w:val="21"/>
              </w:rPr>
            </w:pPr>
            <w:r w:rsidRPr="004A37D1">
              <w:rPr>
                <w:rFonts w:ascii="Arial" w:hAnsi="Arial" w:cs="Arial"/>
                <w:sz w:val="21"/>
                <w:szCs w:val="21"/>
              </w:rPr>
              <w:t>40</w:t>
            </w:r>
          </w:p>
        </w:tc>
        <w:tc>
          <w:tcPr>
            <w:tcW w:w="3402" w:type="dxa"/>
          </w:tcPr>
          <w:p w14:paraId="0CBB98F5" w14:textId="77777777" w:rsidR="004A37D1" w:rsidRPr="004A37D1" w:rsidRDefault="004A37D1" w:rsidP="004A37D1">
            <w:pPr>
              <w:jc w:val="center"/>
              <w:rPr>
                <w:rFonts w:ascii="Arial" w:hAnsi="Arial" w:cs="Arial"/>
                <w:sz w:val="21"/>
                <w:szCs w:val="21"/>
              </w:rPr>
            </w:pPr>
            <w:r w:rsidRPr="004A37D1">
              <w:rPr>
                <w:rFonts w:ascii="Arial" w:hAnsi="Arial" w:cs="Arial"/>
                <w:sz w:val="21"/>
                <w:szCs w:val="21"/>
              </w:rPr>
              <w:t>2.01%</w:t>
            </w:r>
          </w:p>
        </w:tc>
      </w:tr>
      <w:tr w:rsidR="00695E3F" w:rsidRPr="004A37D1" w14:paraId="49BCEA2D" w14:textId="77777777" w:rsidTr="004A37D1">
        <w:tc>
          <w:tcPr>
            <w:tcW w:w="4248" w:type="dxa"/>
            <w:shd w:val="clear" w:color="auto" w:fill="F2F2F2"/>
          </w:tcPr>
          <w:p w14:paraId="39C109CD" w14:textId="77777777" w:rsidR="004A37D1" w:rsidRPr="004A37D1" w:rsidRDefault="004A37D1" w:rsidP="004A37D1">
            <w:pPr>
              <w:rPr>
                <w:rFonts w:ascii="Arial" w:hAnsi="Arial" w:cs="Arial"/>
                <w:b/>
                <w:bCs/>
                <w:sz w:val="21"/>
                <w:szCs w:val="21"/>
              </w:rPr>
            </w:pPr>
            <w:r w:rsidRPr="004A37D1">
              <w:rPr>
                <w:rFonts w:ascii="Arial" w:hAnsi="Arial" w:cs="Arial"/>
                <w:b/>
                <w:bCs/>
                <w:sz w:val="21"/>
                <w:szCs w:val="21"/>
              </w:rPr>
              <w:t>Women in leadership</w:t>
            </w:r>
          </w:p>
        </w:tc>
        <w:tc>
          <w:tcPr>
            <w:tcW w:w="2835" w:type="dxa"/>
            <w:shd w:val="clear" w:color="auto" w:fill="F2F2F2"/>
          </w:tcPr>
          <w:p w14:paraId="3DA1E074" w14:textId="77777777" w:rsidR="004A37D1" w:rsidRPr="004A37D1" w:rsidRDefault="004A37D1" w:rsidP="004A37D1">
            <w:pPr>
              <w:jc w:val="center"/>
              <w:rPr>
                <w:rFonts w:ascii="Arial" w:hAnsi="Arial" w:cs="Arial"/>
                <w:b/>
                <w:bCs/>
                <w:sz w:val="21"/>
                <w:szCs w:val="21"/>
              </w:rPr>
            </w:pPr>
            <w:r w:rsidRPr="004A37D1">
              <w:rPr>
                <w:rFonts w:ascii="Arial" w:hAnsi="Arial" w:cs="Arial"/>
                <w:b/>
                <w:bCs/>
                <w:sz w:val="21"/>
                <w:szCs w:val="21"/>
              </w:rPr>
              <w:t>Number</w:t>
            </w:r>
          </w:p>
          <w:p w14:paraId="062C99F6" w14:textId="77777777" w:rsidR="004A37D1" w:rsidRPr="004A37D1" w:rsidRDefault="004A37D1" w:rsidP="004A37D1">
            <w:pPr>
              <w:jc w:val="center"/>
              <w:rPr>
                <w:rFonts w:ascii="Arial" w:hAnsi="Arial" w:cs="Arial"/>
                <w:b/>
                <w:bCs/>
                <w:sz w:val="21"/>
                <w:szCs w:val="21"/>
              </w:rPr>
            </w:pPr>
            <w:r w:rsidRPr="004A37D1">
              <w:rPr>
                <w:rFonts w:ascii="Arial" w:hAnsi="Arial" w:cs="Arial"/>
                <w:b/>
                <w:bCs/>
                <w:sz w:val="21"/>
                <w:szCs w:val="21"/>
              </w:rPr>
              <w:t>(Headcount)</w:t>
            </w:r>
          </w:p>
        </w:tc>
        <w:tc>
          <w:tcPr>
            <w:tcW w:w="3402" w:type="dxa"/>
            <w:shd w:val="clear" w:color="auto" w:fill="F2F2F2"/>
          </w:tcPr>
          <w:p w14:paraId="781B2158" w14:textId="77777777" w:rsidR="004A37D1" w:rsidRPr="004A37D1" w:rsidRDefault="004A37D1" w:rsidP="004A37D1">
            <w:pPr>
              <w:jc w:val="center"/>
              <w:rPr>
                <w:rFonts w:ascii="Arial" w:hAnsi="Arial" w:cs="Arial"/>
                <w:b/>
                <w:bCs/>
                <w:sz w:val="21"/>
                <w:szCs w:val="21"/>
              </w:rPr>
            </w:pPr>
            <w:r w:rsidRPr="004A37D1">
              <w:rPr>
                <w:rFonts w:ascii="Arial" w:hAnsi="Arial" w:cs="Arial"/>
                <w:b/>
                <w:bCs/>
                <w:sz w:val="21"/>
                <w:szCs w:val="21"/>
              </w:rPr>
              <w:t>Percentage of total leadership cohort</w:t>
            </w:r>
          </w:p>
          <w:p w14:paraId="43DB28E6" w14:textId="77777777" w:rsidR="004A37D1" w:rsidRPr="004A37D1" w:rsidRDefault="004A37D1" w:rsidP="004A37D1">
            <w:pPr>
              <w:jc w:val="center"/>
              <w:rPr>
                <w:rFonts w:ascii="Arial" w:hAnsi="Arial" w:cs="Arial"/>
                <w:b/>
                <w:bCs/>
                <w:sz w:val="21"/>
                <w:szCs w:val="21"/>
              </w:rPr>
            </w:pPr>
            <w:r w:rsidRPr="004A37D1">
              <w:rPr>
                <w:rFonts w:ascii="Arial" w:hAnsi="Arial" w:cs="Arial"/>
                <w:b/>
                <w:bCs/>
                <w:sz w:val="21"/>
                <w:szCs w:val="21"/>
              </w:rPr>
              <w:t>(Calculated on headcount)</w:t>
            </w:r>
          </w:p>
        </w:tc>
      </w:tr>
      <w:tr w:rsidR="00695E3F" w:rsidRPr="004A37D1" w14:paraId="72D8BFAE" w14:textId="77777777" w:rsidTr="00CB0C7B">
        <w:tc>
          <w:tcPr>
            <w:tcW w:w="4248" w:type="dxa"/>
          </w:tcPr>
          <w:p w14:paraId="6F70AC64" w14:textId="77777777" w:rsidR="004A37D1" w:rsidRPr="004A37D1" w:rsidRDefault="004A37D1" w:rsidP="004A37D1">
            <w:pPr>
              <w:spacing w:after="200" w:line="276" w:lineRule="auto"/>
              <w:rPr>
                <w:rFonts w:ascii="Arial" w:hAnsi="Arial" w:cs="Arial"/>
                <w:sz w:val="21"/>
                <w:szCs w:val="21"/>
              </w:rPr>
            </w:pPr>
            <w:r w:rsidRPr="004A37D1">
              <w:rPr>
                <w:rFonts w:ascii="Arial" w:hAnsi="Arial" w:cs="Arial"/>
                <w:sz w:val="21"/>
                <w:szCs w:val="21"/>
              </w:rPr>
              <w:t>Women in leadership roles</w:t>
            </w:r>
            <w:r w:rsidRPr="004A37D1">
              <w:rPr>
                <w:rFonts w:ascii="Arial" w:hAnsi="Arial" w:cs="Arial"/>
                <w:sz w:val="21"/>
                <w:szCs w:val="21"/>
                <w:vertAlign w:val="superscript"/>
              </w:rPr>
              <w:t>2</w:t>
            </w:r>
          </w:p>
        </w:tc>
        <w:tc>
          <w:tcPr>
            <w:tcW w:w="2835" w:type="dxa"/>
          </w:tcPr>
          <w:p w14:paraId="509275AF" w14:textId="77777777" w:rsidR="004A37D1" w:rsidRPr="004A37D1" w:rsidRDefault="004A37D1" w:rsidP="004A37D1">
            <w:pPr>
              <w:jc w:val="center"/>
              <w:rPr>
                <w:rFonts w:ascii="Arial" w:hAnsi="Arial" w:cs="Arial"/>
                <w:sz w:val="21"/>
                <w:szCs w:val="21"/>
              </w:rPr>
            </w:pPr>
            <w:r w:rsidRPr="004A37D1">
              <w:rPr>
                <w:rFonts w:ascii="Arial" w:hAnsi="Arial" w:cs="Arial"/>
                <w:sz w:val="21"/>
                <w:szCs w:val="21"/>
              </w:rPr>
              <w:t>35</w:t>
            </w:r>
          </w:p>
        </w:tc>
        <w:tc>
          <w:tcPr>
            <w:tcW w:w="3402" w:type="dxa"/>
          </w:tcPr>
          <w:p w14:paraId="1DB99012" w14:textId="77777777" w:rsidR="004A37D1" w:rsidRPr="004A37D1" w:rsidRDefault="004A37D1" w:rsidP="004A37D1">
            <w:pPr>
              <w:jc w:val="center"/>
              <w:rPr>
                <w:rFonts w:ascii="Arial" w:hAnsi="Arial" w:cs="Arial"/>
                <w:sz w:val="21"/>
                <w:szCs w:val="21"/>
              </w:rPr>
            </w:pPr>
            <w:r w:rsidRPr="004A37D1">
              <w:rPr>
                <w:rFonts w:ascii="Arial" w:hAnsi="Arial" w:cs="Arial"/>
                <w:sz w:val="21"/>
                <w:szCs w:val="21"/>
              </w:rPr>
              <w:t>53.85%</w:t>
            </w:r>
          </w:p>
        </w:tc>
      </w:tr>
    </w:tbl>
    <w:p w14:paraId="003E5872" w14:textId="77777777" w:rsidR="004A37D1" w:rsidRPr="004A37D1" w:rsidRDefault="004A37D1" w:rsidP="004A37D1">
      <w:pPr>
        <w:spacing w:before="120" w:after="0" w:line="240" w:lineRule="auto"/>
        <w:rPr>
          <w:rFonts w:ascii="Arial" w:eastAsia="Times New Roman" w:hAnsi="Arial" w:cs="Arial"/>
          <w:sz w:val="18"/>
          <w:szCs w:val="18"/>
          <w:lang w:eastAsia="en-AU"/>
        </w:rPr>
      </w:pPr>
      <w:bookmarkStart w:id="4" w:name="_Toc78287398"/>
      <w:bookmarkStart w:id="5" w:name="_Toc78355805"/>
      <w:r w:rsidRPr="004A37D1">
        <w:rPr>
          <w:rFonts w:ascii="Arial" w:eastAsia="Times New Roman" w:hAnsi="Arial" w:cs="Arial"/>
          <w:sz w:val="18"/>
          <w:szCs w:val="18"/>
          <w:lang w:eastAsia="en-AU"/>
        </w:rPr>
        <w:t>Notes</w:t>
      </w:r>
    </w:p>
    <w:p w14:paraId="72D3C5FB" w14:textId="77777777" w:rsidR="004A37D1" w:rsidRPr="004A37D1" w:rsidRDefault="004A37D1" w:rsidP="007054F2">
      <w:pPr>
        <w:numPr>
          <w:ilvl w:val="0"/>
          <w:numId w:val="13"/>
        </w:numPr>
        <w:spacing w:after="0" w:line="240" w:lineRule="auto"/>
        <w:contextualSpacing/>
        <w:rPr>
          <w:rFonts w:ascii="Arial" w:eastAsia="Times New Roman" w:hAnsi="Arial" w:cs="Arial"/>
          <w:sz w:val="18"/>
          <w:szCs w:val="18"/>
          <w:lang w:eastAsia="en-AU"/>
        </w:rPr>
      </w:pPr>
      <w:r w:rsidRPr="004A37D1">
        <w:rPr>
          <w:rFonts w:ascii="Arial" w:eastAsia="Times New Roman" w:hAnsi="Arial" w:cs="Arial"/>
          <w:sz w:val="18"/>
          <w:szCs w:val="18"/>
          <w:lang w:eastAsia="en-AU"/>
        </w:rPr>
        <w:t>To ensure privacy, in tables where there are less than 5 respondents in a category, specific numbers have been replaced by &lt;5.</w:t>
      </w:r>
    </w:p>
    <w:p w14:paraId="415F33B5" w14:textId="77777777" w:rsidR="004A37D1" w:rsidRPr="004A37D1" w:rsidRDefault="004A37D1" w:rsidP="007054F2">
      <w:pPr>
        <w:numPr>
          <w:ilvl w:val="0"/>
          <w:numId w:val="13"/>
        </w:numPr>
        <w:spacing w:after="0" w:line="240" w:lineRule="auto"/>
        <w:contextualSpacing/>
        <w:rPr>
          <w:rFonts w:ascii="Arial" w:eastAsia="Times New Roman" w:hAnsi="Arial" w:cs="Arial"/>
          <w:sz w:val="18"/>
          <w:szCs w:val="18"/>
          <w:lang w:eastAsia="en-AU"/>
        </w:rPr>
      </w:pPr>
      <w:r w:rsidRPr="004A37D1">
        <w:rPr>
          <w:rFonts w:ascii="Arial" w:eastAsia="Times New Roman" w:hAnsi="Arial" w:cs="Arial"/>
          <w:sz w:val="18"/>
          <w:szCs w:val="18"/>
          <w:lang w:eastAsia="en-AU"/>
        </w:rPr>
        <w:t>Women in leadership roles relate to those positions that are senior officer and equivalent, or above.</w:t>
      </w:r>
    </w:p>
    <w:p w14:paraId="7C4F82D6" w14:textId="77777777" w:rsidR="004A37D1" w:rsidRPr="004A37D1" w:rsidRDefault="004A37D1" w:rsidP="004A37D1">
      <w:pPr>
        <w:spacing w:before="120" w:after="200" w:line="276" w:lineRule="auto"/>
        <w:rPr>
          <w:rFonts w:ascii="Arial" w:eastAsia="Calibri" w:hAnsi="Arial" w:cs="Arial"/>
          <w:sz w:val="21"/>
          <w:szCs w:val="21"/>
          <w:lang w:val="en-US"/>
        </w:rPr>
      </w:pPr>
      <w:r w:rsidRPr="004A37D1">
        <w:rPr>
          <w:rFonts w:ascii="Arial" w:eastAsia="Calibri" w:hAnsi="Arial" w:cs="Arial"/>
          <w:sz w:val="21"/>
          <w:szCs w:val="21"/>
          <w:lang w:val="en-US"/>
        </w:rPr>
        <w:t>The department has 53.85 per cent of women in leadership roles which exceeds the public sector target of 50 per cent.</w:t>
      </w:r>
      <w:r w:rsidRPr="004A37D1">
        <w:rPr>
          <w:rFonts w:ascii="Arial" w:eastAsia="Times New Roman" w:hAnsi="Arial" w:cs="Arial"/>
          <w:sz w:val="21"/>
          <w:szCs w:val="21"/>
          <w:lang w:eastAsia="en-AU"/>
        </w:rPr>
        <w:t xml:space="preserve"> It is also noted that 66.53 per cent of our total employment numbers are female employees</w:t>
      </w:r>
      <w:r w:rsidRPr="004A37D1">
        <w:rPr>
          <w:rFonts w:ascii="Arial" w:eastAsia="Calibri" w:hAnsi="Arial" w:cs="Arial"/>
          <w:sz w:val="21"/>
          <w:szCs w:val="21"/>
          <w:lang w:val="en-US"/>
        </w:rPr>
        <w:t xml:space="preserve">. The department has commenced preliminary work with the Public Service Commission on future reporting on gender pay equity. </w:t>
      </w:r>
    </w:p>
    <w:p w14:paraId="115B5504" w14:textId="77777777" w:rsidR="004A37D1" w:rsidRPr="004A37D1" w:rsidRDefault="004A37D1" w:rsidP="004A37D1">
      <w:pPr>
        <w:spacing w:after="200" w:line="276" w:lineRule="auto"/>
        <w:rPr>
          <w:rFonts w:ascii="Arial" w:eastAsia="Calibri" w:hAnsi="Arial" w:cs="Arial"/>
          <w:sz w:val="21"/>
          <w:szCs w:val="21"/>
          <w:lang w:val="en-US"/>
        </w:rPr>
      </w:pPr>
      <w:r w:rsidRPr="004A37D1">
        <w:rPr>
          <w:rFonts w:ascii="Arial" w:eastAsia="Calibri" w:hAnsi="Arial" w:cs="Arial"/>
          <w:sz w:val="21"/>
          <w:szCs w:val="21"/>
          <w:lang w:val="en-US"/>
        </w:rPr>
        <w:t xml:space="preserve">In 2021–2022, in consultation with the department’s inclusion and diversity network, the department developed an Inclusion and Diversity Strategy 2021-2024, which outlines a range of initiatives including improving employment outcomes for target groups. These include Aboriginal and Torres Strait Islander employees and employees with disability. </w:t>
      </w:r>
    </w:p>
    <w:p w14:paraId="77D924EF" w14:textId="77777777" w:rsidR="004A37D1" w:rsidRPr="004A37D1" w:rsidRDefault="004A37D1" w:rsidP="004A37D1">
      <w:pPr>
        <w:spacing w:after="200" w:line="276" w:lineRule="auto"/>
        <w:rPr>
          <w:rFonts w:ascii="Arial" w:eastAsia="Calibri" w:hAnsi="Arial" w:cs="Arial"/>
          <w:sz w:val="21"/>
          <w:szCs w:val="21"/>
          <w:lang w:val="en-US"/>
        </w:rPr>
      </w:pPr>
      <w:bookmarkStart w:id="6" w:name="_Hlk112838300"/>
      <w:bookmarkStart w:id="7" w:name="_Hlk109650086"/>
      <w:r w:rsidRPr="004A37D1">
        <w:rPr>
          <w:rFonts w:ascii="Arial" w:eastAsia="Calibri" w:hAnsi="Arial" w:cs="Arial"/>
          <w:sz w:val="21"/>
          <w:szCs w:val="21"/>
          <w:lang w:val="en-US"/>
        </w:rPr>
        <w:t xml:space="preserve">The department has 6.33 per cent of its employees who identify as Aboriginal and Torres Strait Islander employees which exceeds the public sector target of 3 per cent. </w:t>
      </w:r>
      <w:bookmarkEnd w:id="6"/>
      <w:r w:rsidRPr="004A37D1">
        <w:rPr>
          <w:rFonts w:ascii="Arial" w:eastAsia="Calibri" w:hAnsi="Arial" w:cs="Arial"/>
          <w:sz w:val="21"/>
          <w:szCs w:val="21"/>
          <w:lang w:val="en-US"/>
        </w:rPr>
        <w:t xml:space="preserve">The department has 5.03 per cent of employees who identify as having a disability, which is well above the public sector average of 3.31 per cent but below the public sector target of 8 per cent. </w:t>
      </w:r>
    </w:p>
    <w:bookmarkEnd w:id="7"/>
    <w:p w14:paraId="606AE4A6" w14:textId="77777777" w:rsidR="004A37D1" w:rsidRPr="004A37D1" w:rsidRDefault="004A37D1" w:rsidP="004A37D1">
      <w:pPr>
        <w:spacing w:after="200" w:line="276" w:lineRule="auto"/>
        <w:rPr>
          <w:rFonts w:ascii="Arial" w:eastAsia="Calibri" w:hAnsi="Arial" w:cs="Arial"/>
          <w:sz w:val="21"/>
          <w:szCs w:val="21"/>
          <w:lang w:val="en-US"/>
        </w:rPr>
      </w:pPr>
      <w:r w:rsidRPr="004A37D1">
        <w:rPr>
          <w:rFonts w:ascii="Arial" w:eastAsia="Calibri" w:hAnsi="Arial" w:cs="Arial"/>
          <w:sz w:val="21"/>
          <w:szCs w:val="21"/>
          <w:lang w:val="en-US"/>
        </w:rPr>
        <w:t>It is anticipated that staff network groups for Aboriginal and Torres Strait Islander employees and employees with disability will be established in 2022–2023.</w:t>
      </w:r>
      <w:r w:rsidRPr="004A37D1">
        <w:rPr>
          <w:rFonts w:ascii="Arial" w:eastAsia="Times New Roman" w:hAnsi="Arial" w:cs="Arial"/>
          <w:sz w:val="21"/>
          <w:szCs w:val="21"/>
          <w:lang w:eastAsia="en-AU"/>
        </w:rPr>
        <w:t xml:space="preserve"> </w:t>
      </w:r>
      <w:r w:rsidRPr="004A37D1">
        <w:rPr>
          <w:rFonts w:ascii="Arial" w:eastAsia="Calibri" w:hAnsi="Arial" w:cs="Arial"/>
          <w:sz w:val="21"/>
          <w:szCs w:val="21"/>
          <w:lang w:val="en-US"/>
        </w:rPr>
        <w:t>These network groups focus on supporting employees through their personal and professional development.</w:t>
      </w:r>
    </w:p>
    <w:bookmarkEnd w:id="4"/>
    <w:bookmarkEnd w:id="5"/>
    <w:p w14:paraId="7FD2B002" w14:textId="77777777" w:rsidR="004A37D1" w:rsidRPr="004A37D1" w:rsidRDefault="004A37D1" w:rsidP="004A37D1">
      <w:pPr>
        <w:pStyle w:val="Heading3"/>
      </w:pPr>
      <w:r w:rsidRPr="004A37D1">
        <w:t xml:space="preserve">Strategic workforce planning and performance </w:t>
      </w:r>
    </w:p>
    <w:p w14:paraId="50B738A8" w14:textId="77777777" w:rsidR="004A37D1" w:rsidRPr="004A37D1" w:rsidRDefault="004A37D1" w:rsidP="004A37D1">
      <w:pPr>
        <w:spacing w:after="200" w:line="276" w:lineRule="auto"/>
        <w:rPr>
          <w:rFonts w:ascii="Arial" w:eastAsia="Times New Roman" w:hAnsi="Arial" w:cs="Arial"/>
          <w:sz w:val="21"/>
          <w:szCs w:val="21"/>
          <w:lang w:eastAsia="en-AU"/>
        </w:rPr>
      </w:pPr>
      <w:r w:rsidRPr="004A37D1">
        <w:rPr>
          <w:rFonts w:ascii="Arial" w:eastAsia="Times New Roman" w:hAnsi="Arial" w:cs="Arial"/>
          <w:sz w:val="21"/>
          <w:szCs w:val="21"/>
          <w:lang w:eastAsia="en-AU"/>
        </w:rPr>
        <w:t xml:space="preserve">In 2021, the department approved its </w:t>
      </w:r>
      <w:r w:rsidRPr="004A37D1">
        <w:rPr>
          <w:rFonts w:ascii="Arial" w:eastAsia="Times New Roman" w:hAnsi="Arial" w:cs="Arial"/>
          <w:i/>
          <w:iCs/>
          <w:sz w:val="21"/>
          <w:szCs w:val="21"/>
          <w:lang w:eastAsia="en-AU"/>
        </w:rPr>
        <w:t>Strategic Workforce Plan 2021–2025</w:t>
      </w:r>
      <w:r w:rsidRPr="004A37D1">
        <w:rPr>
          <w:rFonts w:ascii="Arial" w:eastAsia="Times New Roman" w:hAnsi="Arial" w:cs="Arial"/>
          <w:sz w:val="21"/>
          <w:szCs w:val="21"/>
          <w:lang w:eastAsia="en-AU"/>
        </w:rPr>
        <w:t xml:space="preserve">, </w:t>
      </w:r>
      <w:r w:rsidRPr="004A37D1">
        <w:rPr>
          <w:rFonts w:ascii="Arial" w:eastAsia="Times New Roman" w:hAnsi="Arial" w:cs="Arial"/>
          <w:i/>
          <w:iCs/>
          <w:sz w:val="21"/>
          <w:szCs w:val="21"/>
          <w:lang w:eastAsia="en-AU"/>
        </w:rPr>
        <w:t>A Capable Workforce;</w:t>
      </w:r>
      <w:r w:rsidRPr="004A37D1">
        <w:rPr>
          <w:rFonts w:ascii="Arial" w:eastAsia="Times New Roman" w:hAnsi="Arial" w:cs="Arial"/>
          <w:sz w:val="21"/>
          <w:szCs w:val="21"/>
          <w:lang w:eastAsia="en-AU"/>
        </w:rPr>
        <w:t xml:space="preserve"> </w:t>
      </w:r>
      <w:r w:rsidRPr="004A37D1">
        <w:rPr>
          <w:rFonts w:ascii="Arial" w:eastAsia="Times New Roman" w:hAnsi="Arial" w:cs="Arial"/>
          <w:i/>
          <w:iCs/>
          <w:sz w:val="21"/>
          <w:szCs w:val="21"/>
          <w:lang w:eastAsia="en-AU"/>
        </w:rPr>
        <w:t>A Quality Workplace</w:t>
      </w:r>
      <w:r w:rsidRPr="004A37D1">
        <w:rPr>
          <w:rFonts w:ascii="Arial" w:eastAsia="Times New Roman" w:hAnsi="Arial" w:cs="Arial"/>
          <w:sz w:val="21"/>
          <w:szCs w:val="21"/>
          <w:lang w:eastAsia="en-AU"/>
        </w:rPr>
        <w:t>. The strategic plan aligns workforce initiatives with the department’s priorities and provides a consistent reference point for its workforce agenda.</w:t>
      </w:r>
    </w:p>
    <w:p w14:paraId="20056FA8" w14:textId="77777777" w:rsidR="004A37D1" w:rsidRPr="004A37D1" w:rsidRDefault="004A37D1" w:rsidP="004A37D1">
      <w:pPr>
        <w:spacing w:after="200" w:line="276" w:lineRule="auto"/>
        <w:rPr>
          <w:rFonts w:ascii="Arial" w:eastAsia="Times New Roman" w:hAnsi="Arial" w:cs="Arial"/>
          <w:sz w:val="21"/>
          <w:szCs w:val="21"/>
          <w:lang w:eastAsia="en-AU"/>
        </w:rPr>
      </w:pPr>
      <w:r w:rsidRPr="004A37D1">
        <w:rPr>
          <w:rFonts w:ascii="Arial" w:eastAsia="Times New Roman" w:hAnsi="Arial" w:cs="Arial"/>
          <w:sz w:val="21"/>
          <w:szCs w:val="21"/>
          <w:lang w:eastAsia="en-AU"/>
        </w:rPr>
        <w:t>The objectives and strategies set out in our Strategic Workforce Plan 2021–2025 support the achievement of the department’s vision and are designed to guide the department to develop an agile, high-performing, professional and innovative workforce that can meet the department’s current and future business needs.</w:t>
      </w:r>
    </w:p>
    <w:p w14:paraId="0B9945B8" w14:textId="77777777" w:rsidR="004A37D1" w:rsidRPr="004A37D1" w:rsidRDefault="004A37D1" w:rsidP="004A37D1">
      <w:pPr>
        <w:spacing w:after="200" w:line="276" w:lineRule="auto"/>
        <w:rPr>
          <w:rFonts w:ascii="Arial" w:eastAsia="Times New Roman" w:hAnsi="Arial" w:cs="Arial"/>
          <w:sz w:val="21"/>
          <w:szCs w:val="21"/>
          <w:lang w:eastAsia="en-AU"/>
        </w:rPr>
      </w:pPr>
      <w:r w:rsidRPr="004A37D1">
        <w:rPr>
          <w:rFonts w:ascii="Arial" w:eastAsia="Times New Roman" w:hAnsi="Arial" w:cs="Arial"/>
          <w:sz w:val="21"/>
          <w:szCs w:val="21"/>
          <w:lang w:eastAsia="en-AU"/>
        </w:rPr>
        <w:lastRenderedPageBreak/>
        <w:t>The department has a range of other strategies and frameworks in place to foster a healthy workplace culture and an inclusive workplace, while creating an agile future-focused organisation. These include the Safety, Wellbeing and Injury Management Strategy and Operating framework, Positive Performance Management framework, the Wellbeing Strategy, and the Workforce Capability Framework 2021–2025, all of which have our SOLID values at their core. In addition, the department is White Ribbon-accredited and has an ongoing commitment to supporting employees in relation to domestic and family violence.</w:t>
      </w:r>
    </w:p>
    <w:p w14:paraId="1214547A" w14:textId="77777777" w:rsidR="004A37D1" w:rsidRPr="004A37D1" w:rsidRDefault="004A37D1" w:rsidP="004A37D1">
      <w:pPr>
        <w:pStyle w:val="Heading3"/>
      </w:pPr>
      <w:r w:rsidRPr="004A37D1">
        <w:t>Attraction and retention strategies</w:t>
      </w:r>
    </w:p>
    <w:p w14:paraId="30F97B60" w14:textId="77777777" w:rsidR="004A37D1" w:rsidRPr="004A37D1" w:rsidRDefault="004A37D1" w:rsidP="004A37D1">
      <w:pPr>
        <w:spacing w:after="200" w:line="276" w:lineRule="auto"/>
        <w:rPr>
          <w:rFonts w:ascii="Arial" w:eastAsia="Calibri" w:hAnsi="Arial" w:cs="Arial"/>
          <w:sz w:val="21"/>
          <w:szCs w:val="21"/>
          <w:lang w:val="en-US"/>
        </w:rPr>
      </w:pPr>
      <w:r w:rsidRPr="004A37D1">
        <w:rPr>
          <w:rFonts w:ascii="Arial" w:eastAsia="Calibri" w:hAnsi="Arial" w:cs="Arial"/>
          <w:sz w:val="21"/>
          <w:szCs w:val="21"/>
          <w:lang w:val="en-US"/>
        </w:rPr>
        <w:t xml:space="preserve">Attracting and retaining a diverse talent pool drawn from all sections of the community is crucial to the department’s ability to deliver effective services that reflect the community and its expectations. </w:t>
      </w:r>
    </w:p>
    <w:p w14:paraId="6DFEEE69" w14:textId="77777777" w:rsidR="004A37D1" w:rsidRPr="004A37D1" w:rsidRDefault="004A37D1" w:rsidP="004A37D1">
      <w:pPr>
        <w:spacing w:after="200" w:line="276" w:lineRule="auto"/>
        <w:rPr>
          <w:rFonts w:ascii="Arial" w:eastAsia="Calibri" w:hAnsi="Arial" w:cs="Arial"/>
          <w:sz w:val="21"/>
          <w:szCs w:val="21"/>
          <w:lang w:val="en-US"/>
        </w:rPr>
      </w:pPr>
      <w:r w:rsidRPr="004A37D1">
        <w:rPr>
          <w:rFonts w:ascii="Arial" w:eastAsia="Calibri" w:hAnsi="Arial" w:cs="Arial"/>
          <w:sz w:val="21"/>
          <w:szCs w:val="21"/>
          <w:lang w:val="en-US"/>
        </w:rPr>
        <w:t>The department offers a range of career pathways and benefits to support and retain a skilled and capable workforce. This includes offering competitive salary and working conditions to enable a work-life balance. The span of learning and development opportunities available demonstrates the department’s continued commitment to developing staff capability and providing career pathways for our workforce.</w:t>
      </w:r>
    </w:p>
    <w:p w14:paraId="680D187F" w14:textId="77777777" w:rsidR="004A37D1" w:rsidRPr="004A37D1" w:rsidRDefault="004A37D1" w:rsidP="004A37D1">
      <w:pPr>
        <w:spacing w:after="200" w:line="276" w:lineRule="auto"/>
        <w:rPr>
          <w:rFonts w:ascii="Arial" w:eastAsia="Calibri" w:hAnsi="Arial" w:cs="Arial"/>
          <w:sz w:val="21"/>
          <w:szCs w:val="21"/>
          <w:lang w:val="en-US"/>
        </w:rPr>
      </w:pPr>
      <w:r w:rsidRPr="004A37D1">
        <w:rPr>
          <w:rFonts w:ascii="Arial" w:eastAsia="Calibri" w:hAnsi="Arial" w:cs="Arial"/>
          <w:sz w:val="21"/>
          <w:szCs w:val="21"/>
          <w:lang w:val="en-US"/>
        </w:rPr>
        <w:t xml:space="preserve">In 2021–2022, the department focused on implementing a range of recruitment and selection strategies to support frontline service delivery roles to attract and retain casual Residential Care Officers within Accommodation Support and Respite Services. This included the focus group continuing to address recruitment challenges, and the development of a virtual information session video to provide interested applicants with an overview of the role. </w:t>
      </w:r>
    </w:p>
    <w:p w14:paraId="59719EC5" w14:textId="77777777" w:rsidR="004A37D1" w:rsidRPr="004A37D1" w:rsidRDefault="004A37D1" w:rsidP="004A37D1">
      <w:pPr>
        <w:spacing w:after="200" w:line="276" w:lineRule="auto"/>
        <w:rPr>
          <w:rFonts w:ascii="Arial" w:eastAsia="Calibri" w:hAnsi="Arial" w:cs="Arial"/>
          <w:sz w:val="21"/>
          <w:szCs w:val="21"/>
          <w:lang w:val="en-US"/>
        </w:rPr>
      </w:pPr>
      <w:r w:rsidRPr="004A37D1">
        <w:rPr>
          <w:rFonts w:ascii="Arial" w:eastAsia="Calibri" w:hAnsi="Arial" w:cs="Arial"/>
          <w:sz w:val="21"/>
          <w:szCs w:val="21"/>
          <w:lang w:val="en-US"/>
        </w:rPr>
        <w:t>The department’s recruitment and selection policy, and supporting guideline and templates were also reviewed and refreshed.</w:t>
      </w:r>
    </w:p>
    <w:p w14:paraId="76E4D536" w14:textId="77777777" w:rsidR="004A37D1" w:rsidRPr="004A37D1" w:rsidRDefault="004A37D1" w:rsidP="004A37D1">
      <w:pPr>
        <w:spacing w:after="200" w:line="276" w:lineRule="auto"/>
        <w:rPr>
          <w:rFonts w:ascii="Arial" w:eastAsia="Calibri" w:hAnsi="Arial" w:cs="Arial"/>
          <w:sz w:val="21"/>
          <w:szCs w:val="21"/>
          <w:lang w:val="en-US"/>
        </w:rPr>
      </w:pPr>
      <w:bookmarkStart w:id="8" w:name="_Hlk112838339"/>
      <w:r w:rsidRPr="004A37D1">
        <w:rPr>
          <w:rFonts w:ascii="Arial" w:eastAsia="Calibri" w:hAnsi="Arial" w:cs="Arial"/>
          <w:sz w:val="21"/>
          <w:szCs w:val="21"/>
          <w:lang w:val="en-US"/>
        </w:rPr>
        <w:t>We also partnered with the Public Service Commission to attract, retain and develop Aboriginal and Torres Strait Islander public servants and public service employees with disability. Two positions were funded by the department in these areas and the two employees worked in the Public Service Commission. Specific areas of work included the development and implementation of the Aboriginal and Torres Strait Islander Careers Pathways Service and assisting the public service with employment initiatives for people with disability.</w:t>
      </w:r>
    </w:p>
    <w:bookmarkEnd w:id="8"/>
    <w:p w14:paraId="43D47D2A" w14:textId="77777777" w:rsidR="004A37D1" w:rsidRPr="004A37D1" w:rsidRDefault="004A37D1" w:rsidP="004A37D1">
      <w:pPr>
        <w:pStyle w:val="Heading3"/>
      </w:pPr>
      <w:r w:rsidRPr="004A37D1">
        <w:t xml:space="preserve">Learning and development opportunities </w:t>
      </w:r>
    </w:p>
    <w:p w14:paraId="49D29A89" w14:textId="77777777" w:rsidR="004A37D1" w:rsidRPr="004A37D1" w:rsidRDefault="004A37D1" w:rsidP="004A37D1">
      <w:pPr>
        <w:spacing w:after="200" w:line="276"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The department’s approach to capability development is underpinned by a growth mindset and maintains that all employees can grow and improve, and that they should be supported in this by their leaders and colleagues. The department continues to invest and value the importance of a skilled and capable workforce. The range of training and capability development strategies enable staff, from commencement of employment, to have a clear and shared understanding of their role demonstrating SOLID values, working in teams and delivering effective services to Queensland communities.</w:t>
      </w:r>
    </w:p>
    <w:p w14:paraId="2F7F514A" w14:textId="77777777" w:rsidR="004A37D1" w:rsidRPr="004A37D1" w:rsidRDefault="004A37D1" w:rsidP="004A37D1">
      <w:pPr>
        <w:spacing w:after="200" w:line="276"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All training and capability development activities were guided by the Workforce Capability Framework 2021–2025 and linked to individual’s performance and development agreements.</w:t>
      </w:r>
    </w:p>
    <w:p w14:paraId="425E3D5A" w14:textId="77777777" w:rsidR="004A37D1" w:rsidRPr="004A37D1" w:rsidRDefault="004A37D1" w:rsidP="004A37D1">
      <w:pPr>
        <w:spacing w:after="200" w:line="276"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In 2021–2022, 24,806 staff participated in a range of learning and development activities, including mandatory training, role-specific capability training, professional development opportunities and skill development.</w:t>
      </w:r>
    </w:p>
    <w:p w14:paraId="34648BC0" w14:textId="77777777" w:rsidR="004A37D1" w:rsidRPr="004A37D1" w:rsidRDefault="004A37D1" w:rsidP="004A37D1">
      <w:pPr>
        <w:spacing w:after="200" w:line="276"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Additionally, 84 staff completed national qualifications to support role requirements and professional development. Qualifications included Certificate IV in Community Services, Certificate IV in Disability, Diploma of Community Services and Diploma of Leadership and Management.</w:t>
      </w:r>
    </w:p>
    <w:p w14:paraId="1052075D" w14:textId="77777777" w:rsidR="004A37D1" w:rsidRPr="004A37D1" w:rsidRDefault="004A37D1" w:rsidP="004A37D1">
      <w:pPr>
        <w:spacing w:after="200" w:line="276"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 xml:space="preserve">During 2021–2022, the department worked with the Public Service Commission to support the Aboriginal and Torres Strait Islander Career Pathways Service, which was established in 2019. Currently, there are 36 Aboriginal and Torres Strait Islander participants and supervisors from this department participating in the Career Pathways Service. Opportunities for participants, </w:t>
      </w:r>
      <w:proofErr w:type="gramStart"/>
      <w:r w:rsidRPr="004A37D1">
        <w:rPr>
          <w:rFonts w:ascii="Arial" w:eastAsia="Calibri" w:hAnsi="Arial" w:cs="Arial"/>
          <w:sz w:val="21"/>
          <w:szCs w:val="21"/>
          <w:lang w:val="en-US" w:eastAsia="en-AU"/>
        </w:rPr>
        <w:t>as a result of</w:t>
      </w:r>
      <w:proofErr w:type="gramEnd"/>
      <w:r w:rsidRPr="004A37D1">
        <w:rPr>
          <w:rFonts w:ascii="Arial" w:eastAsia="Calibri" w:hAnsi="Arial" w:cs="Arial"/>
          <w:sz w:val="21"/>
          <w:szCs w:val="21"/>
          <w:lang w:val="en-US" w:eastAsia="en-AU"/>
        </w:rPr>
        <w:t xml:space="preserve"> their involvement, include higher duties </w:t>
      </w:r>
      <w:r w:rsidRPr="004A37D1">
        <w:rPr>
          <w:rFonts w:ascii="Arial" w:eastAsia="Calibri" w:hAnsi="Arial" w:cs="Arial"/>
          <w:sz w:val="21"/>
          <w:szCs w:val="21"/>
          <w:lang w:val="en-US" w:eastAsia="en-AU"/>
        </w:rPr>
        <w:lastRenderedPageBreak/>
        <w:t>secondments, access to learning and development opportunities, and mentoring, coaching and networking opportunities.</w:t>
      </w:r>
    </w:p>
    <w:p w14:paraId="35F1409F" w14:textId="77777777" w:rsidR="004A37D1" w:rsidRPr="004A37D1" w:rsidRDefault="004A37D1" w:rsidP="004A37D1">
      <w:pPr>
        <w:pStyle w:val="Heading3"/>
      </w:pPr>
      <w:bookmarkStart w:id="9" w:name="_Hlk112838364"/>
      <w:r w:rsidRPr="004A37D1">
        <w:t>Building cultural capacity</w:t>
      </w:r>
    </w:p>
    <w:p w14:paraId="0348D255" w14:textId="77777777" w:rsidR="004A37D1" w:rsidRPr="004A37D1" w:rsidRDefault="004A37D1" w:rsidP="004A37D1">
      <w:pPr>
        <w:spacing w:after="200" w:line="276"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 xml:space="preserve">The department </w:t>
      </w:r>
      <w:proofErr w:type="spellStart"/>
      <w:r w:rsidRPr="004A37D1">
        <w:rPr>
          <w:rFonts w:ascii="Arial" w:eastAsia="Calibri" w:hAnsi="Arial" w:cs="Arial"/>
          <w:sz w:val="21"/>
          <w:szCs w:val="21"/>
          <w:lang w:val="en-US" w:eastAsia="en-AU"/>
        </w:rPr>
        <w:t>recognises</w:t>
      </w:r>
      <w:proofErr w:type="spellEnd"/>
      <w:r w:rsidRPr="004A37D1">
        <w:rPr>
          <w:rFonts w:ascii="Arial" w:eastAsia="Calibri" w:hAnsi="Arial" w:cs="Arial"/>
          <w:sz w:val="21"/>
          <w:szCs w:val="21"/>
          <w:lang w:val="en-US" w:eastAsia="en-AU"/>
        </w:rPr>
        <w:t xml:space="preserve"> that the cultural capability of all staff is integral to achieving our vision of thriving Queensland communities and creating an inclusive workplace. In 2021–2022, 699 staff completed mandatory cultural awareness training, and 13 staff were supported to participate in the Certificate IV in Indigenous Cultural Capability as part of the whole of government initiative to develop public service cultural capability.</w:t>
      </w:r>
    </w:p>
    <w:bookmarkEnd w:id="9"/>
    <w:p w14:paraId="1BB9ADB2" w14:textId="77777777" w:rsidR="004A37D1" w:rsidRPr="004A37D1" w:rsidRDefault="004A37D1" w:rsidP="004A37D1">
      <w:pPr>
        <w:spacing w:after="200" w:line="276"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Further, during this reporting period the department achieved:</w:t>
      </w:r>
    </w:p>
    <w:p w14:paraId="3D493C97"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100 per cent of departmental Cultural Capability Action Plan deliverables implemented</w:t>
      </w:r>
    </w:p>
    <w:p w14:paraId="3DA63CCE"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100 per cent of the departmental Reconciliation Action Plan deliverables implemented.</w:t>
      </w:r>
    </w:p>
    <w:p w14:paraId="2D777D69" w14:textId="77777777" w:rsidR="004A37D1" w:rsidRPr="004A37D1" w:rsidRDefault="004A37D1" w:rsidP="004A37D1">
      <w:pPr>
        <w:pStyle w:val="Heading3"/>
      </w:pPr>
      <w:r w:rsidRPr="004A37D1">
        <w:t xml:space="preserve">Employee induction </w:t>
      </w:r>
    </w:p>
    <w:p w14:paraId="5C12DF10" w14:textId="77777777" w:rsidR="004A37D1" w:rsidRPr="004A37D1" w:rsidRDefault="004A37D1" w:rsidP="004A37D1">
      <w:pPr>
        <w:spacing w:after="200" w:line="276"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 xml:space="preserve">The department provides a comprehensive departmental induction program to support and orientate new employees to their environment and provide them with meaningful work as quickly as possible. </w:t>
      </w:r>
    </w:p>
    <w:p w14:paraId="5B04524F" w14:textId="77777777" w:rsidR="004A37D1" w:rsidRPr="004A37D1" w:rsidRDefault="004A37D1" w:rsidP="004A37D1">
      <w:pPr>
        <w:spacing w:after="200" w:line="276"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In 2021–2022, the department’s induction process was reviewed and refreshed to ensure alignment with its SOLID values. A range of mandatory modules are provided to new employees. Additional role-specific training is delivered for key frontline staff including residential care officers and forensic officers.</w:t>
      </w:r>
    </w:p>
    <w:p w14:paraId="4FD6974F" w14:textId="77777777" w:rsidR="004A37D1" w:rsidRPr="004A37D1" w:rsidRDefault="004A37D1" w:rsidP="004A37D1">
      <w:pPr>
        <w:spacing w:after="120" w:line="240"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All new employees undertake the induction process, which is designed to:</w:t>
      </w:r>
    </w:p>
    <w:p w14:paraId="7677A024"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ensure a smooth transition into the department and work environment</w:t>
      </w:r>
    </w:p>
    <w:p w14:paraId="66477B3D"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provide information on employment conditions and entitlements</w:t>
      </w:r>
    </w:p>
    <w:p w14:paraId="5F4FBE3B"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 xml:space="preserve">help new starters to understand the responsibilities and </w:t>
      </w:r>
      <w:proofErr w:type="spellStart"/>
      <w:r w:rsidRPr="004A37D1">
        <w:rPr>
          <w:rFonts w:ascii="Arial" w:eastAsia="Calibri" w:hAnsi="Arial" w:cs="Arial"/>
          <w:sz w:val="21"/>
          <w:szCs w:val="21"/>
          <w:lang w:val="en-US"/>
        </w:rPr>
        <w:t>behaviours</w:t>
      </w:r>
      <w:proofErr w:type="spellEnd"/>
      <w:r w:rsidRPr="004A37D1">
        <w:rPr>
          <w:rFonts w:ascii="Arial" w:eastAsia="Calibri" w:hAnsi="Arial" w:cs="Arial"/>
          <w:sz w:val="21"/>
          <w:szCs w:val="21"/>
          <w:lang w:val="en-US"/>
        </w:rPr>
        <w:t xml:space="preserve"> expected of them by the Queensland Government and the department</w:t>
      </w:r>
    </w:p>
    <w:p w14:paraId="1141CCEE"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provide an understanding of the function and operations of the department, as well as those of the business group or work unit</w:t>
      </w:r>
    </w:p>
    <w:p w14:paraId="245F84BA" w14:textId="750B380F" w:rsidR="004A37D1" w:rsidRPr="00695E3F"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provide an understanding of the department’s SOLID values.</w:t>
      </w:r>
    </w:p>
    <w:p w14:paraId="7F73AB3C" w14:textId="77777777" w:rsidR="004A37D1" w:rsidRPr="004A37D1" w:rsidRDefault="004A37D1" w:rsidP="004A37D1">
      <w:pPr>
        <w:spacing w:before="240" w:after="200" w:line="276"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 xml:space="preserve">All employees, including new employees, are required to undertake mandatory online courses through the department’s </w:t>
      </w:r>
      <w:proofErr w:type="spellStart"/>
      <w:r w:rsidRPr="004A37D1">
        <w:rPr>
          <w:rFonts w:ascii="Arial" w:eastAsia="Calibri" w:hAnsi="Arial" w:cs="Arial"/>
          <w:sz w:val="21"/>
          <w:szCs w:val="21"/>
          <w:lang w:val="en-US" w:eastAsia="en-AU"/>
        </w:rPr>
        <w:t>iLearn</w:t>
      </w:r>
      <w:proofErr w:type="spellEnd"/>
      <w:r w:rsidRPr="004A37D1">
        <w:rPr>
          <w:rFonts w:ascii="Arial" w:eastAsia="Calibri" w:hAnsi="Arial" w:cs="Arial"/>
          <w:sz w:val="21"/>
          <w:szCs w:val="21"/>
          <w:lang w:val="en-US" w:eastAsia="en-AU"/>
        </w:rPr>
        <w:t xml:space="preserve"> site or complete self-paced workbooks to ensure they have the necessary skills and knowledge to deliver effective and efficient services. In 2021–2022, 13,356 staff participated in mandatory departmental training courses achieved flexibly via online, face-to-face or self-paced workbooks.</w:t>
      </w:r>
    </w:p>
    <w:p w14:paraId="137D0A92" w14:textId="77777777" w:rsidR="004A37D1" w:rsidRPr="004A37D1" w:rsidRDefault="004A37D1" w:rsidP="004A37D1">
      <w:pPr>
        <w:pStyle w:val="Heading3"/>
      </w:pPr>
      <w:r w:rsidRPr="004A37D1">
        <w:t>Leadership development</w:t>
      </w:r>
    </w:p>
    <w:p w14:paraId="3F0B3A90" w14:textId="77777777" w:rsidR="004A37D1" w:rsidRPr="004A37D1" w:rsidRDefault="004A37D1" w:rsidP="004A37D1">
      <w:pPr>
        <w:spacing w:after="200" w:line="276"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 xml:space="preserve">Effective leadership is critical to ensuring we have a positive and supportive workplace culture focused on high performance, innovation and continuous improvement. </w:t>
      </w:r>
    </w:p>
    <w:p w14:paraId="2CD270A5" w14:textId="77777777" w:rsidR="004A37D1" w:rsidRPr="004A37D1" w:rsidRDefault="004A37D1" w:rsidP="004A37D1">
      <w:pPr>
        <w:spacing w:after="200" w:line="276"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 xml:space="preserve">The department’s approach to leadership development is underpinned by the public service leadership competencies for Queensland. </w:t>
      </w:r>
    </w:p>
    <w:p w14:paraId="2038249D" w14:textId="77777777" w:rsidR="004A37D1" w:rsidRPr="004A37D1" w:rsidRDefault="004A37D1" w:rsidP="004A37D1">
      <w:pPr>
        <w:spacing w:after="200" w:line="276"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During 2021–2022, the department supported 17 staff to participate in LEAD4QLD, and currently, a cohort of 15 team leaders/program leaders have commenced the LEAD4QLD program. A further nine staff were supported to participate in the People Matters leadership programs.</w:t>
      </w:r>
    </w:p>
    <w:p w14:paraId="24E15721" w14:textId="77777777" w:rsidR="004A37D1" w:rsidRPr="004A37D1" w:rsidRDefault="004A37D1" w:rsidP="004A37D1">
      <w:pPr>
        <w:spacing w:after="200" w:line="276"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In addition, one staff member completed the Public Sector Management Program, and another completed the Diploma of Leadership and Management via an externally registered training provider.</w:t>
      </w:r>
    </w:p>
    <w:p w14:paraId="73D85A63" w14:textId="77777777" w:rsidR="004A37D1" w:rsidRPr="004A37D1" w:rsidRDefault="004A37D1" w:rsidP="004A37D1">
      <w:pPr>
        <w:pStyle w:val="Heading3"/>
      </w:pPr>
      <w:r w:rsidRPr="004A37D1">
        <w:t xml:space="preserve">Managing high performance </w:t>
      </w:r>
    </w:p>
    <w:p w14:paraId="4E107A28" w14:textId="77777777" w:rsidR="004A37D1" w:rsidRPr="004A37D1" w:rsidRDefault="004A37D1" w:rsidP="004A37D1">
      <w:pPr>
        <w:spacing w:after="200" w:line="276"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 xml:space="preserve">High standards of performance, clear </w:t>
      </w:r>
      <w:proofErr w:type="spellStart"/>
      <w:r w:rsidRPr="004A37D1">
        <w:rPr>
          <w:rFonts w:ascii="Arial" w:eastAsia="Calibri" w:hAnsi="Arial" w:cs="Arial"/>
          <w:sz w:val="21"/>
          <w:szCs w:val="21"/>
          <w:lang w:val="en-US" w:eastAsia="en-AU"/>
        </w:rPr>
        <w:t>behavioural</w:t>
      </w:r>
      <w:proofErr w:type="spellEnd"/>
      <w:r w:rsidRPr="004A37D1">
        <w:rPr>
          <w:rFonts w:ascii="Arial" w:eastAsia="Calibri" w:hAnsi="Arial" w:cs="Arial"/>
          <w:sz w:val="21"/>
          <w:szCs w:val="21"/>
          <w:lang w:val="en-US" w:eastAsia="en-AU"/>
        </w:rPr>
        <w:t xml:space="preserve"> expectations and our SOLID values are aligned to the Queensland Public Service values and employee performance development framework. The framework, which </w:t>
      </w:r>
      <w:r w:rsidRPr="004A37D1">
        <w:rPr>
          <w:rFonts w:ascii="Arial" w:eastAsia="Calibri" w:hAnsi="Arial" w:cs="Arial"/>
          <w:sz w:val="21"/>
          <w:szCs w:val="21"/>
          <w:lang w:val="en-US" w:eastAsia="en-AU"/>
        </w:rPr>
        <w:lastRenderedPageBreak/>
        <w:t xml:space="preserve">was refreshed by the department in 2021, promotes a positive and healthy workplace culture where employees and supervisors engage in a performance management process with regular, meaningful and supportive conversations about performance expectations and capability development opportunities.  </w:t>
      </w:r>
    </w:p>
    <w:p w14:paraId="692B237A" w14:textId="77777777" w:rsidR="004A37D1" w:rsidRPr="004A37D1" w:rsidRDefault="004A37D1" w:rsidP="004A37D1">
      <w:pPr>
        <w:spacing w:after="200" w:line="276"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 xml:space="preserve">Performance and Development Agreements are used to provide an opportunity for supervisors and their staff to discuss and record performance expectations, how their role links to the department’s goals, and the immediate and future career goals for the employee. </w:t>
      </w:r>
    </w:p>
    <w:p w14:paraId="36FCDC15" w14:textId="77777777" w:rsidR="004A37D1" w:rsidRPr="004A37D1" w:rsidRDefault="004A37D1" w:rsidP="004A37D1">
      <w:pPr>
        <w:pStyle w:val="Heading3"/>
      </w:pPr>
      <w:r w:rsidRPr="004A37D1">
        <w:t xml:space="preserve">Employee health, safety and wellbeing </w:t>
      </w:r>
    </w:p>
    <w:p w14:paraId="1D93E686" w14:textId="77777777" w:rsidR="004A37D1" w:rsidRPr="004A37D1" w:rsidRDefault="004A37D1" w:rsidP="004A37D1">
      <w:pPr>
        <w:spacing w:after="120" w:line="276"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 xml:space="preserve">The </w:t>
      </w:r>
      <w:r w:rsidRPr="004A37D1">
        <w:rPr>
          <w:rFonts w:ascii="Arial" w:eastAsia="Calibri" w:hAnsi="Arial" w:cs="Arial"/>
          <w:i/>
          <w:iCs/>
          <w:sz w:val="21"/>
          <w:szCs w:val="21"/>
          <w:lang w:val="en-US" w:eastAsia="en-AU"/>
        </w:rPr>
        <w:t>Strategic Workforce Plan 2021–2025</w:t>
      </w:r>
      <w:r w:rsidRPr="004A37D1">
        <w:rPr>
          <w:rFonts w:ascii="Arial" w:eastAsia="Calibri" w:hAnsi="Arial" w:cs="Arial"/>
          <w:sz w:val="21"/>
          <w:szCs w:val="21"/>
          <w:lang w:val="en-US" w:eastAsia="en-AU"/>
        </w:rPr>
        <w:t xml:space="preserve"> identifies the department’s commitment to supporting employees’ wellbeing and safety. This plan is supported by our Health, Safety and Wellbeing Policy and Wellbeing Strategy 2022–2025, and related procedures and guidelines, which aim to:</w:t>
      </w:r>
    </w:p>
    <w:p w14:paraId="4DFF74CD"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establish and maintain a workplace that is free from risks to the health, safety and wellbeing of individuals</w:t>
      </w:r>
    </w:p>
    <w:p w14:paraId="5C30B94F"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maintain a workplace in which employees strive for optimum levels of wellbeing</w:t>
      </w:r>
    </w:p>
    <w:p w14:paraId="5441E78F"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detail the agreed employer or employee responsibilities, including responsibilities for reporting workplace hazards and incidents.</w:t>
      </w:r>
    </w:p>
    <w:p w14:paraId="7F5D4D4F" w14:textId="77777777" w:rsidR="004A37D1" w:rsidRPr="004A37D1" w:rsidRDefault="004A37D1" w:rsidP="004A37D1">
      <w:pPr>
        <w:spacing w:before="240" w:after="120" w:line="240"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During the reporting period, measures were implemented to improve workplace health, safety and wellbeing across the department. These included:</w:t>
      </w:r>
    </w:p>
    <w:p w14:paraId="396BD346"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 xml:space="preserve">providing ongoing employee support through the department’s Employee Assistance Program delivered by </w:t>
      </w:r>
      <w:proofErr w:type="spellStart"/>
      <w:r w:rsidRPr="004A37D1">
        <w:rPr>
          <w:rFonts w:ascii="Arial" w:eastAsia="Calibri" w:hAnsi="Arial" w:cs="Arial"/>
          <w:sz w:val="21"/>
          <w:szCs w:val="21"/>
          <w:lang w:val="en-US"/>
        </w:rPr>
        <w:t>Benestar</w:t>
      </w:r>
      <w:proofErr w:type="spellEnd"/>
      <w:r w:rsidRPr="004A37D1">
        <w:rPr>
          <w:rFonts w:ascii="Arial" w:eastAsia="Calibri" w:hAnsi="Arial" w:cs="Arial"/>
          <w:sz w:val="21"/>
          <w:szCs w:val="21"/>
          <w:lang w:val="en-US"/>
        </w:rPr>
        <w:t xml:space="preserve">, including a range of services such as Manager Assist, on-site employee support and a dedicated support line for Aboriginal and Torres Strait Islander staff </w:t>
      </w:r>
    </w:p>
    <w:p w14:paraId="7894FCC4"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producing regular communications to promote a positive workplace culture including regular updates on human resource matters and distribution of a weekly wellbeing newsletter</w:t>
      </w:r>
    </w:p>
    <w:p w14:paraId="06B1F154"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promoting wellbeing and health initiatives including Mental Health Week and Safe Work Month</w:t>
      </w:r>
    </w:p>
    <w:p w14:paraId="7383DC62"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developing resources to support the implementation of self-care and workplace wellbeing strategies</w:t>
      </w:r>
    </w:p>
    <w:p w14:paraId="24AA96A3"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completing the White Ribbon reaccreditation for the department and updating training and resources to better support staff impacted by domestic and family violence</w:t>
      </w:r>
    </w:p>
    <w:p w14:paraId="3F61A895"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hosting weekly all staff online forums led by the Director-General and other senior leaders, to ensure staff stay connected, share best practice advice, celebrate success, and provide direct access to information from senior leaders</w:t>
      </w:r>
    </w:p>
    <w:p w14:paraId="208D2CE7"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providing staff with a range of supports and resources to assist them through the COVID-19 pandemic. This included advice on enhanced hygiene practices, social distancing and flexible work arrangements, and developing additional fact sheets around personal protective equipment</w:t>
      </w:r>
    </w:p>
    <w:p w14:paraId="63006C6A"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developing and implementing the COVID-19 vaccination requirements policy</w:t>
      </w:r>
    </w:p>
    <w:p w14:paraId="224BF7D3"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developing the Safety, Wellbeing and Injury Management (SWIM) Strategy 2022–2025, and the SWIM Operating Framework</w:t>
      </w:r>
    </w:p>
    <w:p w14:paraId="576F20E8"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developing the departmental Wellbeing Strategy 2022–2025 and the Wellbeing Action Plan 2022–23, and providing the wellbeing portal</w:t>
      </w:r>
    </w:p>
    <w:p w14:paraId="5D4E5A84"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developing and promoting the bullying and harassment portal and resources</w:t>
      </w:r>
    </w:p>
    <w:p w14:paraId="21F36BEC"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implementing the annual influenza vaccination program.</w:t>
      </w:r>
    </w:p>
    <w:p w14:paraId="127FFAC7" w14:textId="77777777" w:rsidR="004A37D1" w:rsidRPr="004A37D1" w:rsidRDefault="004A37D1" w:rsidP="004A37D1">
      <w:pPr>
        <w:pStyle w:val="Heading3"/>
      </w:pPr>
      <w:r w:rsidRPr="004A37D1">
        <w:t xml:space="preserve">Employee opinion survey </w:t>
      </w:r>
    </w:p>
    <w:p w14:paraId="52C4670E" w14:textId="77777777" w:rsidR="004A37D1" w:rsidRPr="004A37D1" w:rsidRDefault="004A37D1" w:rsidP="004A37D1">
      <w:pPr>
        <w:spacing w:after="120" w:line="276" w:lineRule="auto"/>
        <w:rPr>
          <w:rFonts w:ascii="Arial" w:eastAsia="Times New Roman" w:hAnsi="Arial" w:cs="Arial"/>
          <w:sz w:val="21"/>
          <w:szCs w:val="21"/>
          <w:lang w:eastAsia="en-AU"/>
        </w:rPr>
      </w:pPr>
      <w:r w:rsidRPr="004A37D1">
        <w:rPr>
          <w:rFonts w:ascii="Arial" w:eastAsia="Times New Roman" w:hAnsi="Arial" w:cs="Arial"/>
          <w:sz w:val="21"/>
          <w:szCs w:val="21"/>
          <w:lang w:eastAsia="en-AU"/>
        </w:rPr>
        <w:t>The Working for Queensland Survey (WFQ) is an annual survey measuring Queensland Public Sector employee perceptions of their work, manager, team and organisation. The results of the WFQ survey are used to drive positive workplace change across the organisation.</w:t>
      </w:r>
    </w:p>
    <w:p w14:paraId="53B257DB" w14:textId="77777777" w:rsidR="004A37D1" w:rsidRPr="004A37D1" w:rsidRDefault="004A37D1" w:rsidP="004A37D1">
      <w:pPr>
        <w:spacing w:after="120" w:line="276" w:lineRule="auto"/>
        <w:rPr>
          <w:rFonts w:ascii="Arial" w:eastAsia="Times New Roman" w:hAnsi="Arial" w:cs="Arial"/>
          <w:sz w:val="21"/>
          <w:szCs w:val="21"/>
          <w:lang w:eastAsia="en-AU"/>
        </w:rPr>
      </w:pPr>
      <w:r w:rsidRPr="004A37D1">
        <w:rPr>
          <w:rFonts w:ascii="Arial" w:eastAsia="Times New Roman" w:hAnsi="Arial" w:cs="Arial"/>
          <w:sz w:val="21"/>
          <w:szCs w:val="21"/>
          <w:lang w:eastAsia="en-AU"/>
        </w:rPr>
        <w:t>Fifty per cent of staff responded to the 2021 survey. As a restructured department, the 2021 results provide a new baseline for ongoing improvement opportunities.</w:t>
      </w:r>
    </w:p>
    <w:p w14:paraId="7BE1493E" w14:textId="0630D478" w:rsidR="004A37D1" w:rsidRPr="004A37D1" w:rsidRDefault="004A37D1" w:rsidP="004A37D1">
      <w:pPr>
        <w:spacing w:after="120" w:line="276" w:lineRule="auto"/>
        <w:rPr>
          <w:rFonts w:ascii="Arial" w:eastAsia="Times New Roman" w:hAnsi="Arial" w:cs="Arial"/>
          <w:sz w:val="21"/>
          <w:szCs w:val="21"/>
          <w:lang w:eastAsia="en-AU"/>
        </w:rPr>
      </w:pPr>
      <w:r w:rsidRPr="00695E3F">
        <w:rPr>
          <w:rFonts w:ascii="Arial" w:eastAsia="Times New Roman" w:hAnsi="Arial" w:cs="Arial"/>
          <w:sz w:val="21"/>
          <w:szCs w:val="21"/>
          <w:lang w:eastAsia="en-AU"/>
        </w:rPr>
        <w:br w:type="column"/>
      </w:r>
      <w:r w:rsidRPr="004A37D1">
        <w:rPr>
          <w:rFonts w:ascii="Arial" w:eastAsia="Times New Roman" w:hAnsi="Arial" w:cs="Arial"/>
          <w:sz w:val="21"/>
          <w:szCs w:val="21"/>
          <w:lang w:eastAsia="en-AU"/>
        </w:rPr>
        <w:lastRenderedPageBreak/>
        <w:t>The results of many factors are very similar to the whole of public sector results, including agency engagement at 56 per cent and organisational leadership at 48 per cent.</w:t>
      </w:r>
    </w:p>
    <w:p w14:paraId="0CC3C3D1" w14:textId="77777777" w:rsidR="004A37D1" w:rsidRPr="004A37D1" w:rsidRDefault="004A37D1" w:rsidP="004A37D1">
      <w:pPr>
        <w:spacing w:after="120" w:line="276" w:lineRule="auto"/>
        <w:rPr>
          <w:rFonts w:ascii="Arial" w:eastAsia="Times New Roman" w:hAnsi="Arial" w:cs="Arial"/>
          <w:sz w:val="21"/>
          <w:szCs w:val="21"/>
          <w:lang w:eastAsia="en-AU"/>
        </w:rPr>
      </w:pPr>
      <w:r w:rsidRPr="004A37D1">
        <w:rPr>
          <w:rFonts w:ascii="Arial" w:eastAsia="Times New Roman" w:hAnsi="Arial" w:cs="Arial"/>
          <w:sz w:val="21"/>
          <w:szCs w:val="21"/>
          <w:lang w:eastAsia="en-AU"/>
        </w:rPr>
        <w:t xml:space="preserve">The department was particularly strong on understanding how the </w:t>
      </w:r>
      <w:r w:rsidRPr="004A37D1">
        <w:rPr>
          <w:rFonts w:ascii="Arial" w:eastAsia="Times New Roman" w:hAnsi="Arial" w:cs="Arial"/>
          <w:i/>
          <w:iCs/>
          <w:sz w:val="21"/>
          <w:szCs w:val="21"/>
          <w:lang w:eastAsia="en-AU"/>
        </w:rPr>
        <w:t>Human Rights Act 2019</w:t>
      </w:r>
      <w:r w:rsidRPr="004A37D1">
        <w:rPr>
          <w:rFonts w:ascii="Arial" w:eastAsia="Times New Roman" w:hAnsi="Arial" w:cs="Arial"/>
          <w:sz w:val="21"/>
          <w:szCs w:val="21"/>
          <w:lang w:eastAsia="en-AU"/>
        </w:rPr>
        <w:t xml:space="preserve"> applies to our work and anti-discrimination, including staff who felt they made a difference in this area.</w:t>
      </w:r>
    </w:p>
    <w:p w14:paraId="4D3BD8CE" w14:textId="77777777" w:rsidR="004A37D1" w:rsidRPr="004A37D1" w:rsidRDefault="004A37D1" w:rsidP="004A37D1">
      <w:pPr>
        <w:spacing w:after="120" w:line="276" w:lineRule="auto"/>
        <w:rPr>
          <w:rFonts w:ascii="Arial" w:eastAsia="Times New Roman" w:hAnsi="Arial" w:cs="Arial"/>
          <w:sz w:val="21"/>
          <w:szCs w:val="21"/>
          <w:lang w:eastAsia="en-AU"/>
        </w:rPr>
      </w:pPr>
      <w:r w:rsidRPr="004A37D1">
        <w:rPr>
          <w:rFonts w:ascii="Arial" w:eastAsia="Times New Roman" w:hAnsi="Arial" w:cs="Arial"/>
          <w:sz w:val="21"/>
          <w:szCs w:val="21"/>
          <w:lang w:eastAsia="en-AU"/>
        </w:rPr>
        <w:t>In response to areas where improvements are needed, the department is actively working to reduce reported experiences of bullying and harassment, implementing positive performance management, building the capability of managers and implementing a new employee wellbeing plan.</w:t>
      </w:r>
    </w:p>
    <w:p w14:paraId="0BF9334D" w14:textId="77777777" w:rsidR="004A37D1" w:rsidRPr="004A37D1" w:rsidRDefault="004A37D1" w:rsidP="004A37D1">
      <w:pPr>
        <w:spacing w:after="120" w:line="276" w:lineRule="auto"/>
        <w:rPr>
          <w:rFonts w:ascii="Arial" w:eastAsia="Times New Roman" w:hAnsi="Arial" w:cs="Arial"/>
          <w:sz w:val="21"/>
          <w:szCs w:val="21"/>
          <w:lang w:eastAsia="en-AU"/>
        </w:rPr>
      </w:pPr>
      <w:r w:rsidRPr="004A37D1">
        <w:rPr>
          <w:rFonts w:ascii="Arial" w:eastAsia="Times New Roman" w:hAnsi="Arial" w:cs="Arial"/>
          <w:sz w:val="21"/>
          <w:szCs w:val="21"/>
          <w:lang w:eastAsia="en-AU"/>
        </w:rPr>
        <w:t>SOLID values are continuing to be embedded and regular workshops, engagement and communication with staff continues.</w:t>
      </w:r>
    </w:p>
    <w:p w14:paraId="7231C9FE" w14:textId="77777777" w:rsidR="004A37D1" w:rsidRPr="004A37D1" w:rsidRDefault="004A37D1" w:rsidP="004A37D1">
      <w:pPr>
        <w:pStyle w:val="Heading2"/>
        <w:keepLines w:val="0"/>
        <w:spacing w:before="0" w:after="120" w:line="240" w:lineRule="auto"/>
        <w:rPr>
          <w:rFonts w:ascii="Arial" w:hAnsi="Arial"/>
          <w:color w:val="auto"/>
        </w:rPr>
      </w:pPr>
      <w:bookmarkStart w:id="10" w:name="_Toc113544398"/>
      <w:r w:rsidRPr="004A37D1">
        <w:rPr>
          <w:rFonts w:ascii="Arial" w:hAnsi="Arial"/>
          <w:color w:val="auto"/>
        </w:rPr>
        <w:t>Code of Conduct and Public Sector Ethics</w:t>
      </w:r>
      <w:bookmarkEnd w:id="10"/>
      <w:r w:rsidRPr="004A37D1">
        <w:rPr>
          <w:rFonts w:ascii="Arial" w:hAnsi="Arial"/>
          <w:color w:val="auto"/>
        </w:rPr>
        <w:t xml:space="preserve"> </w:t>
      </w:r>
    </w:p>
    <w:p w14:paraId="7B1EF7E0" w14:textId="77777777" w:rsidR="004A37D1" w:rsidRPr="004A37D1" w:rsidRDefault="004A37D1" w:rsidP="004A37D1">
      <w:pPr>
        <w:spacing w:after="120" w:line="276" w:lineRule="auto"/>
        <w:rPr>
          <w:rFonts w:ascii="Arial" w:eastAsia="Calibri" w:hAnsi="Arial" w:cs="Arial"/>
          <w:sz w:val="21"/>
          <w:szCs w:val="21"/>
          <w:lang w:val="en-US"/>
        </w:rPr>
      </w:pPr>
      <w:r w:rsidRPr="004A37D1">
        <w:rPr>
          <w:rFonts w:ascii="Arial" w:eastAsia="Calibri" w:hAnsi="Arial" w:cs="Arial"/>
          <w:sz w:val="21"/>
          <w:szCs w:val="21"/>
          <w:lang w:val="en-US"/>
        </w:rPr>
        <w:t xml:space="preserve">The </w:t>
      </w:r>
      <w:r w:rsidRPr="004A37D1">
        <w:rPr>
          <w:rFonts w:ascii="Arial" w:eastAsia="Calibri" w:hAnsi="Arial" w:cs="Arial"/>
          <w:i/>
          <w:iCs/>
          <w:sz w:val="21"/>
          <w:szCs w:val="21"/>
          <w:lang w:val="en-US"/>
        </w:rPr>
        <w:t>Code of Conduct</w:t>
      </w:r>
      <w:r w:rsidRPr="004A37D1">
        <w:rPr>
          <w:rFonts w:ascii="Arial" w:eastAsia="Calibri" w:hAnsi="Arial" w:cs="Arial"/>
          <w:sz w:val="21"/>
          <w:szCs w:val="21"/>
          <w:lang w:val="en-US"/>
        </w:rPr>
        <w:t xml:space="preserve"> </w:t>
      </w:r>
      <w:r w:rsidRPr="004A37D1">
        <w:rPr>
          <w:rFonts w:ascii="Arial" w:eastAsia="Calibri" w:hAnsi="Arial" w:cs="Arial"/>
          <w:i/>
          <w:iCs/>
          <w:sz w:val="21"/>
          <w:szCs w:val="21"/>
          <w:lang w:val="en-US"/>
        </w:rPr>
        <w:t>for the Queensland Public Service</w:t>
      </w:r>
      <w:r w:rsidRPr="004A37D1">
        <w:rPr>
          <w:rFonts w:ascii="Arial" w:eastAsia="Calibri" w:hAnsi="Arial" w:cs="Arial"/>
          <w:sz w:val="21"/>
          <w:szCs w:val="21"/>
          <w:lang w:val="en-US"/>
        </w:rPr>
        <w:t xml:space="preserve"> (the Code of Conduct) is based on the ethics, principles and associated set of values prescribed by the </w:t>
      </w:r>
      <w:r w:rsidRPr="004A37D1">
        <w:rPr>
          <w:rFonts w:ascii="Arial" w:eastAsia="Calibri" w:hAnsi="Arial" w:cs="Arial"/>
          <w:i/>
          <w:iCs/>
          <w:sz w:val="21"/>
          <w:szCs w:val="21"/>
          <w:lang w:val="en-US"/>
        </w:rPr>
        <w:t>Public Sector Ethics Act 1994</w:t>
      </w:r>
      <w:r w:rsidRPr="004A37D1">
        <w:rPr>
          <w:rFonts w:ascii="Arial" w:eastAsia="Calibri" w:hAnsi="Arial" w:cs="Arial"/>
          <w:sz w:val="21"/>
          <w:szCs w:val="21"/>
          <w:lang w:val="en-US"/>
        </w:rPr>
        <w:t>. It also contains standards of conduct for each of the ethics’ principles, namely:</w:t>
      </w:r>
    </w:p>
    <w:p w14:paraId="6E184E13"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integrity and impartiality</w:t>
      </w:r>
    </w:p>
    <w:p w14:paraId="357818ED"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promoting the public good</w:t>
      </w:r>
    </w:p>
    <w:p w14:paraId="5B6116D6"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commitment to the system of government</w:t>
      </w:r>
    </w:p>
    <w:p w14:paraId="36B5E84F"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accountability and transparency.</w:t>
      </w:r>
    </w:p>
    <w:p w14:paraId="7B9DECFF" w14:textId="77777777" w:rsidR="004A37D1" w:rsidRPr="004A37D1" w:rsidRDefault="004A37D1" w:rsidP="004A37D1">
      <w:pPr>
        <w:spacing w:before="240" w:after="120" w:line="276" w:lineRule="auto"/>
        <w:rPr>
          <w:rFonts w:ascii="Arial" w:eastAsia="Calibri" w:hAnsi="Arial" w:cs="Arial"/>
          <w:sz w:val="21"/>
          <w:szCs w:val="21"/>
          <w:lang w:val="en-US"/>
        </w:rPr>
      </w:pPr>
      <w:r w:rsidRPr="004A37D1">
        <w:rPr>
          <w:rFonts w:ascii="Arial" w:eastAsia="Calibri" w:hAnsi="Arial" w:cs="Arial"/>
          <w:sz w:val="21"/>
          <w:szCs w:val="21"/>
          <w:lang w:val="en-US"/>
        </w:rPr>
        <w:t>The Code of Conduct applies to all departmental employees including volunteers, students, contractors, consultants and anyone working in any other capacity for the department. Adherence to the Code of Conduct is another way the department demonstrates ethical leadership in how it performs its role.</w:t>
      </w:r>
    </w:p>
    <w:p w14:paraId="7499EBB8" w14:textId="77777777" w:rsidR="004A37D1" w:rsidRPr="004A37D1" w:rsidRDefault="004A37D1" w:rsidP="004A37D1">
      <w:pPr>
        <w:spacing w:after="120" w:line="276" w:lineRule="auto"/>
        <w:rPr>
          <w:rFonts w:ascii="Arial" w:eastAsia="Calibri" w:hAnsi="Arial" w:cs="Arial"/>
          <w:sz w:val="21"/>
          <w:szCs w:val="21"/>
          <w:lang w:val="en-US"/>
        </w:rPr>
      </w:pPr>
      <w:r w:rsidRPr="004A37D1">
        <w:rPr>
          <w:rFonts w:ascii="Arial" w:eastAsia="Calibri" w:hAnsi="Arial" w:cs="Arial"/>
          <w:sz w:val="21"/>
          <w:szCs w:val="21"/>
          <w:lang w:val="en-US"/>
        </w:rPr>
        <w:t xml:space="preserve">During 2021–2022, the department regularly provided ethical decision-making education to employees, and ensured all new employees undertook ethics-related training as part of the mandatory induction process. </w:t>
      </w:r>
    </w:p>
    <w:p w14:paraId="4FF4E010" w14:textId="77777777" w:rsidR="004A37D1" w:rsidRPr="004A37D1" w:rsidRDefault="004A37D1" w:rsidP="004A37D1">
      <w:pPr>
        <w:spacing w:after="200" w:line="276" w:lineRule="auto"/>
        <w:rPr>
          <w:rFonts w:ascii="Arial" w:eastAsia="Calibri" w:hAnsi="Arial" w:cs="Arial"/>
          <w:sz w:val="21"/>
          <w:szCs w:val="21"/>
          <w:lang w:val="en-US"/>
        </w:rPr>
      </w:pPr>
      <w:r w:rsidRPr="004A37D1">
        <w:rPr>
          <w:rFonts w:ascii="Arial" w:eastAsia="Calibri" w:hAnsi="Arial" w:cs="Arial"/>
          <w:sz w:val="21"/>
          <w:szCs w:val="21"/>
          <w:lang w:val="en-US"/>
        </w:rPr>
        <w:t>During the year, 941 employees completed ethical decision-making and code of conduct training.</w:t>
      </w:r>
    </w:p>
    <w:p w14:paraId="0044A726" w14:textId="77777777" w:rsidR="004A37D1" w:rsidRPr="004A37D1" w:rsidRDefault="004A37D1" w:rsidP="004A37D1">
      <w:pPr>
        <w:pStyle w:val="Heading3"/>
      </w:pPr>
      <w:r w:rsidRPr="004A37D1">
        <w:t>Management of suspected corrupt conduct and misconduct</w:t>
      </w:r>
    </w:p>
    <w:p w14:paraId="64CD0E68" w14:textId="77777777" w:rsidR="004A37D1" w:rsidRPr="004A37D1" w:rsidRDefault="004A37D1" w:rsidP="004A37D1">
      <w:pPr>
        <w:spacing w:after="200" w:line="276" w:lineRule="auto"/>
        <w:rPr>
          <w:rFonts w:ascii="Arial" w:eastAsia="Calibri" w:hAnsi="Arial" w:cs="Arial"/>
          <w:i/>
          <w:sz w:val="21"/>
          <w:szCs w:val="21"/>
          <w:lang w:val="en-US"/>
        </w:rPr>
      </w:pPr>
      <w:r w:rsidRPr="004A37D1">
        <w:rPr>
          <w:rFonts w:ascii="Arial" w:eastAsia="Calibri" w:hAnsi="Arial" w:cs="Arial"/>
          <w:sz w:val="21"/>
          <w:szCs w:val="21"/>
          <w:lang w:val="en-US"/>
        </w:rPr>
        <w:t xml:space="preserve">Allegations of corrupt conduct, or a breach of the </w:t>
      </w:r>
      <w:r w:rsidRPr="004A37D1">
        <w:rPr>
          <w:rFonts w:ascii="Arial" w:eastAsia="Calibri" w:hAnsi="Arial" w:cs="Arial"/>
          <w:i/>
          <w:iCs/>
          <w:sz w:val="21"/>
          <w:szCs w:val="21"/>
          <w:lang w:val="en-US"/>
        </w:rPr>
        <w:t>Code of Conduct for the Queensland Public Service</w:t>
      </w:r>
      <w:r w:rsidRPr="004A37D1">
        <w:rPr>
          <w:rFonts w:ascii="Arial" w:eastAsia="Calibri" w:hAnsi="Arial" w:cs="Arial"/>
          <w:sz w:val="21"/>
          <w:szCs w:val="21"/>
          <w:lang w:val="en-US"/>
        </w:rPr>
        <w:t xml:space="preserve"> involving a departmental employee, are reported to Ethical Standards. The matter is assessed with consideration given to the definition of corrupt conduct outlined in section 15 of the </w:t>
      </w:r>
      <w:r w:rsidRPr="004A37D1">
        <w:rPr>
          <w:rFonts w:ascii="Arial" w:eastAsia="Calibri" w:hAnsi="Arial" w:cs="Arial"/>
          <w:i/>
          <w:sz w:val="21"/>
          <w:szCs w:val="21"/>
          <w:lang w:val="en-US"/>
        </w:rPr>
        <w:t>Crime and Corruption Act 2001</w:t>
      </w:r>
      <w:r w:rsidRPr="004A37D1">
        <w:rPr>
          <w:rFonts w:ascii="Arial" w:eastAsia="Calibri" w:hAnsi="Arial" w:cs="Arial"/>
          <w:sz w:val="21"/>
          <w:szCs w:val="21"/>
          <w:lang w:val="en-US"/>
        </w:rPr>
        <w:t xml:space="preserve"> and the </w:t>
      </w:r>
      <w:r w:rsidRPr="004A37D1">
        <w:rPr>
          <w:rFonts w:ascii="Arial" w:eastAsia="Calibri" w:hAnsi="Arial" w:cs="Arial"/>
          <w:i/>
          <w:sz w:val="21"/>
          <w:szCs w:val="21"/>
          <w:lang w:val="en-US"/>
        </w:rPr>
        <w:t>Public Interest Disclosure Act 2010.</w:t>
      </w:r>
    </w:p>
    <w:p w14:paraId="29AE8F10" w14:textId="77777777" w:rsidR="004A37D1" w:rsidRPr="004A37D1" w:rsidRDefault="004A37D1" w:rsidP="004A37D1">
      <w:pPr>
        <w:spacing w:after="200" w:line="276" w:lineRule="auto"/>
        <w:rPr>
          <w:rFonts w:ascii="Arial" w:eastAsia="Calibri" w:hAnsi="Arial" w:cs="Arial"/>
          <w:sz w:val="21"/>
          <w:szCs w:val="21"/>
          <w:lang w:val="en-US"/>
        </w:rPr>
      </w:pPr>
      <w:r w:rsidRPr="004A37D1">
        <w:rPr>
          <w:rFonts w:ascii="Arial" w:eastAsia="Calibri" w:hAnsi="Arial" w:cs="Arial"/>
          <w:sz w:val="21"/>
          <w:szCs w:val="21"/>
          <w:lang w:val="en-US"/>
        </w:rPr>
        <w:t>During 2021–2022, the department received 131 referrals. Of the 131 referrals, 31 were assessed as corrupt conduct matters, 82 as misconduct matters, and 18 matters did not reach the threshold of misconduct/corrupt conduct or remained in assessment.</w:t>
      </w:r>
    </w:p>
    <w:p w14:paraId="28B33487" w14:textId="77777777" w:rsidR="004A37D1" w:rsidRPr="004A37D1" w:rsidRDefault="004A37D1" w:rsidP="004A37D1">
      <w:pPr>
        <w:spacing w:after="120" w:line="240" w:lineRule="auto"/>
        <w:outlineLvl w:val="2"/>
        <w:rPr>
          <w:rFonts w:ascii="Arial" w:eastAsia="Times New Roman" w:hAnsi="Arial" w:cs="Arial"/>
          <w:bCs/>
          <w:sz w:val="26"/>
          <w:szCs w:val="26"/>
        </w:rPr>
      </w:pPr>
      <w:r w:rsidRPr="004A37D1">
        <w:rPr>
          <w:rFonts w:ascii="Arial" w:eastAsia="Times New Roman" w:hAnsi="Arial" w:cs="Arial"/>
          <w:bCs/>
          <w:sz w:val="26"/>
          <w:szCs w:val="26"/>
        </w:rPr>
        <w:t xml:space="preserve">Early retirement, redundancy and retrenchment </w:t>
      </w:r>
    </w:p>
    <w:p w14:paraId="7DF2DF1A" w14:textId="77777777" w:rsidR="004A37D1" w:rsidRPr="004A37D1" w:rsidRDefault="004A37D1" w:rsidP="004A37D1">
      <w:pPr>
        <w:spacing w:after="120" w:line="276" w:lineRule="auto"/>
        <w:rPr>
          <w:rFonts w:ascii="Arial" w:eastAsia="Times New Roman" w:hAnsi="Arial" w:cs="Arial"/>
          <w:sz w:val="21"/>
          <w:szCs w:val="21"/>
          <w:lang w:eastAsia="en-AU"/>
        </w:rPr>
      </w:pPr>
      <w:r w:rsidRPr="004A37D1">
        <w:rPr>
          <w:rFonts w:ascii="Arial" w:eastAsia="Times New Roman" w:hAnsi="Arial" w:cs="Arial"/>
          <w:sz w:val="21"/>
          <w:szCs w:val="21"/>
          <w:lang w:eastAsia="en-AU"/>
        </w:rPr>
        <w:t xml:space="preserve">During the reporting period, one employee received a redundancy package at a cost of $94,498, plus leave that was owing to the officer. </w:t>
      </w:r>
    </w:p>
    <w:p w14:paraId="6965F442" w14:textId="77777777" w:rsidR="004A37D1" w:rsidRPr="004A37D1" w:rsidRDefault="004A37D1" w:rsidP="004A37D1">
      <w:pPr>
        <w:pStyle w:val="Heading2"/>
        <w:keepLines w:val="0"/>
        <w:spacing w:before="0" w:after="120" w:line="240" w:lineRule="auto"/>
        <w:rPr>
          <w:rFonts w:ascii="Arial" w:hAnsi="Arial"/>
          <w:color w:val="auto"/>
        </w:rPr>
      </w:pPr>
      <w:bookmarkStart w:id="11" w:name="_Toc113544399"/>
      <w:r w:rsidRPr="004A37D1">
        <w:rPr>
          <w:rFonts w:ascii="Arial" w:hAnsi="Arial"/>
          <w:color w:val="auto"/>
        </w:rPr>
        <w:t>Upholding human rights</w:t>
      </w:r>
      <w:bookmarkEnd w:id="11"/>
      <w:r w:rsidRPr="004A37D1">
        <w:rPr>
          <w:rFonts w:ascii="Arial" w:hAnsi="Arial"/>
          <w:color w:val="auto"/>
        </w:rPr>
        <w:t xml:space="preserve"> </w:t>
      </w:r>
    </w:p>
    <w:p w14:paraId="07588616" w14:textId="77777777" w:rsidR="004A37D1" w:rsidRPr="004A37D1" w:rsidRDefault="004A37D1" w:rsidP="004A37D1">
      <w:pPr>
        <w:spacing w:after="200" w:line="276" w:lineRule="auto"/>
        <w:rPr>
          <w:rFonts w:ascii="Arial" w:eastAsia="Calibri" w:hAnsi="Arial" w:cs="Arial"/>
          <w:sz w:val="21"/>
          <w:szCs w:val="21"/>
          <w:lang w:val="en-US"/>
        </w:rPr>
      </w:pPr>
      <w:r w:rsidRPr="004A37D1">
        <w:rPr>
          <w:rFonts w:ascii="Arial" w:eastAsia="Calibri" w:hAnsi="Arial" w:cs="Arial"/>
          <w:sz w:val="21"/>
          <w:szCs w:val="21"/>
          <w:lang w:val="en-US"/>
        </w:rPr>
        <w:t xml:space="preserve">The department gives regard to the Queensland </w:t>
      </w:r>
      <w:r w:rsidRPr="004A37D1">
        <w:rPr>
          <w:rFonts w:ascii="Arial" w:eastAsia="Calibri" w:hAnsi="Arial" w:cs="Arial"/>
          <w:i/>
          <w:sz w:val="21"/>
          <w:szCs w:val="21"/>
          <w:lang w:val="en-US"/>
        </w:rPr>
        <w:t>Human Rights Act 2019</w:t>
      </w:r>
      <w:r w:rsidRPr="004A37D1">
        <w:rPr>
          <w:rFonts w:ascii="Arial" w:eastAsia="Calibri" w:hAnsi="Arial" w:cs="Arial"/>
          <w:sz w:val="21"/>
          <w:szCs w:val="21"/>
          <w:lang w:val="en-US"/>
        </w:rPr>
        <w:t xml:space="preserve"> (HR Act)</w:t>
      </w:r>
      <w:r w:rsidRPr="004A37D1">
        <w:rPr>
          <w:rFonts w:ascii="Arial" w:eastAsia="Calibri" w:hAnsi="Arial" w:cs="Arial"/>
          <w:i/>
          <w:iCs/>
          <w:sz w:val="21"/>
          <w:szCs w:val="21"/>
          <w:lang w:val="en-US"/>
        </w:rPr>
        <w:t xml:space="preserve"> </w:t>
      </w:r>
      <w:r w:rsidRPr="004A37D1">
        <w:rPr>
          <w:rFonts w:ascii="Arial" w:eastAsia="Calibri" w:hAnsi="Arial" w:cs="Arial"/>
          <w:sz w:val="21"/>
          <w:szCs w:val="21"/>
          <w:lang w:val="en-US"/>
        </w:rPr>
        <w:t xml:space="preserve">within all aspects of decision-making, policies, processes and practices to ensure an </w:t>
      </w:r>
      <w:proofErr w:type="spellStart"/>
      <w:r w:rsidRPr="004A37D1">
        <w:rPr>
          <w:rFonts w:ascii="Arial" w:eastAsia="Calibri" w:hAnsi="Arial" w:cs="Arial"/>
          <w:sz w:val="21"/>
          <w:szCs w:val="21"/>
          <w:lang w:val="en-US"/>
        </w:rPr>
        <w:t>organisational</w:t>
      </w:r>
      <w:proofErr w:type="spellEnd"/>
      <w:r w:rsidRPr="004A37D1">
        <w:rPr>
          <w:rFonts w:ascii="Arial" w:eastAsia="Calibri" w:hAnsi="Arial" w:cs="Arial"/>
          <w:sz w:val="21"/>
          <w:szCs w:val="21"/>
          <w:lang w:val="en-US"/>
        </w:rPr>
        <w:t xml:space="preserve"> culture that respects, protects and promotes all human rights. </w:t>
      </w:r>
    </w:p>
    <w:p w14:paraId="6A1CA200" w14:textId="77777777" w:rsidR="004A37D1" w:rsidRPr="004A37D1" w:rsidRDefault="004A37D1" w:rsidP="004A37D1">
      <w:pPr>
        <w:spacing w:after="200" w:line="276" w:lineRule="auto"/>
        <w:rPr>
          <w:rFonts w:ascii="Arial" w:eastAsia="Calibri" w:hAnsi="Arial" w:cs="Arial"/>
          <w:bCs/>
          <w:iCs/>
        </w:rPr>
      </w:pPr>
      <w:r w:rsidRPr="004A37D1">
        <w:rPr>
          <w:rFonts w:ascii="Arial" w:eastAsia="Calibri" w:hAnsi="Arial" w:cs="Arial"/>
          <w:sz w:val="21"/>
          <w:szCs w:val="21"/>
          <w:lang w:val="en-US"/>
        </w:rPr>
        <w:t xml:space="preserve">As at 30 June 2022, 906 employees completed or refreshed the HR Act initial awareness mandatory training with a further 385 staff completing the Human Rights role-specific training, and six staff completing other Human Rights training programs.  </w:t>
      </w:r>
    </w:p>
    <w:p w14:paraId="677FDA0D" w14:textId="77777777" w:rsidR="004A37D1" w:rsidRPr="004A37D1" w:rsidRDefault="004A37D1" w:rsidP="004A37D1">
      <w:pPr>
        <w:spacing w:after="200" w:line="276" w:lineRule="auto"/>
        <w:rPr>
          <w:rFonts w:ascii="Arial" w:eastAsia="Calibri" w:hAnsi="Arial" w:cs="Arial"/>
          <w:sz w:val="21"/>
          <w:szCs w:val="21"/>
          <w:lang w:val="en-US"/>
        </w:rPr>
      </w:pPr>
      <w:r w:rsidRPr="004A37D1">
        <w:rPr>
          <w:rFonts w:ascii="Arial" w:eastAsia="Calibri" w:hAnsi="Arial" w:cs="Arial"/>
          <w:sz w:val="21"/>
          <w:szCs w:val="21"/>
          <w:lang w:val="en-US"/>
        </w:rPr>
        <w:lastRenderedPageBreak/>
        <w:t xml:space="preserve">The department’s 2021 Employee Opinion Survey results showed that 90 per cent of staff </w:t>
      </w:r>
      <w:proofErr w:type="gramStart"/>
      <w:r w:rsidRPr="004A37D1">
        <w:rPr>
          <w:rFonts w:ascii="Arial" w:eastAsia="Calibri" w:hAnsi="Arial" w:cs="Arial"/>
          <w:sz w:val="21"/>
          <w:szCs w:val="21"/>
          <w:lang w:val="en-US"/>
        </w:rPr>
        <w:t>had an understanding of</w:t>
      </w:r>
      <w:proofErr w:type="gramEnd"/>
      <w:r w:rsidRPr="004A37D1">
        <w:rPr>
          <w:rFonts w:ascii="Arial" w:eastAsia="Calibri" w:hAnsi="Arial" w:cs="Arial"/>
          <w:sz w:val="21"/>
          <w:szCs w:val="21"/>
          <w:lang w:val="en-US"/>
        </w:rPr>
        <w:t xml:space="preserve"> the HR Act and how it applies to their work. This result was 13 percentage points above the Queensland public sector average. This was a significant achievement for the department during 2021.</w:t>
      </w:r>
    </w:p>
    <w:p w14:paraId="2EDD0ED3" w14:textId="77777777" w:rsidR="004A37D1" w:rsidRPr="004A37D1" w:rsidRDefault="004A37D1" w:rsidP="004A37D1">
      <w:pPr>
        <w:pStyle w:val="Heading3"/>
        <w:rPr>
          <w:rFonts w:eastAsia="Calibri"/>
        </w:rPr>
      </w:pPr>
      <w:r w:rsidRPr="004A37D1">
        <w:rPr>
          <w:rFonts w:eastAsia="Calibri"/>
        </w:rPr>
        <w:t xml:space="preserve">Actions to further the objects of the </w:t>
      </w:r>
      <w:r w:rsidRPr="004A37D1">
        <w:rPr>
          <w:rFonts w:eastAsia="Calibri"/>
          <w:i/>
          <w:iCs/>
        </w:rPr>
        <w:t>Human Rights Act 2019</w:t>
      </w:r>
      <w:r w:rsidRPr="004A37D1">
        <w:rPr>
          <w:rFonts w:eastAsia="Calibri"/>
        </w:rPr>
        <w:t xml:space="preserve"> </w:t>
      </w:r>
    </w:p>
    <w:p w14:paraId="718E6FEB" w14:textId="77777777" w:rsidR="004A37D1" w:rsidRPr="004A37D1" w:rsidRDefault="004A37D1" w:rsidP="004A37D1">
      <w:pPr>
        <w:spacing w:after="120" w:line="276" w:lineRule="auto"/>
        <w:rPr>
          <w:rFonts w:ascii="Arial" w:eastAsia="Calibri" w:hAnsi="Arial" w:cs="Arial"/>
          <w:sz w:val="21"/>
          <w:szCs w:val="21"/>
          <w:lang w:eastAsia="en-AU"/>
        </w:rPr>
      </w:pPr>
      <w:r w:rsidRPr="004A37D1">
        <w:rPr>
          <w:rFonts w:ascii="Arial" w:eastAsia="Calibri" w:hAnsi="Arial" w:cs="Arial"/>
          <w:sz w:val="21"/>
          <w:szCs w:val="21"/>
          <w:lang w:eastAsia="en-AU"/>
        </w:rPr>
        <w:t>During the reporting period the department has undertaken the following activities to further the objects of the HR Act:</w:t>
      </w:r>
    </w:p>
    <w:p w14:paraId="00687E37" w14:textId="77777777" w:rsidR="004A37D1" w:rsidRPr="004A37D1" w:rsidRDefault="004A37D1" w:rsidP="007054F2">
      <w:pPr>
        <w:numPr>
          <w:ilvl w:val="0"/>
          <w:numId w:val="9"/>
        </w:numPr>
        <w:spacing w:after="200" w:line="276" w:lineRule="auto"/>
        <w:contextualSpacing/>
        <w:rPr>
          <w:rFonts w:ascii="Arial" w:eastAsia="Calibri" w:hAnsi="Arial" w:cs="Arial"/>
          <w:sz w:val="21"/>
          <w:szCs w:val="21"/>
          <w:lang w:eastAsia="en-AU"/>
        </w:rPr>
      </w:pPr>
      <w:r w:rsidRPr="004A37D1">
        <w:rPr>
          <w:rFonts w:ascii="Arial" w:eastAsia="Calibri" w:hAnsi="Arial" w:cs="Arial"/>
          <w:sz w:val="21"/>
          <w:szCs w:val="21"/>
          <w:lang w:eastAsia="en-AU"/>
        </w:rPr>
        <w:t xml:space="preserve">On 8 December 2021, Ms Neroli Holmes, Deputy Commissioner, Queensland Human Rights Commission (QHRC), presented information to departmental staff through the weekly All Staff Forum (on-line Teams presentation) about the QHRC’s second annual report, and provided summaries of outcomes and trends, and case examples. Ms Holmes also took questions from staff members. This was an activity undertaken to promote human rights during Human Rights Week, and an opportunity for departmental staff to hear about the work of the Commission. </w:t>
      </w:r>
    </w:p>
    <w:p w14:paraId="43BEB090" w14:textId="77777777" w:rsidR="004A37D1" w:rsidRPr="004A37D1" w:rsidRDefault="004A37D1" w:rsidP="007054F2">
      <w:pPr>
        <w:numPr>
          <w:ilvl w:val="0"/>
          <w:numId w:val="9"/>
        </w:numPr>
        <w:spacing w:after="200" w:line="276" w:lineRule="auto"/>
        <w:contextualSpacing/>
        <w:rPr>
          <w:rFonts w:ascii="Arial" w:eastAsia="Calibri" w:hAnsi="Arial" w:cs="Arial"/>
          <w:sz w:val="21"/>
          <w:szCs w:val="21"/>
          <w:lang w:eastAsia="en-AU"/>
        </w:rPr>
      </w:pPr>
      <w:r w:rsidRPr="004A37D1">
        <w:rPr>
          <w:rFonts w:ascii="Arial" w:eastAsia="Calibri" w:hAnsi="Arial" w:cs="Arial"/>
          <w:sz w:val="21"/>
          <w:szCs w:val="21"/>
          <w:lang w:eastAsia="en-AU"/>
        </w:rPr>
        <w:t>Human Rights Week 2021 promotions included links and information on the department’s internal and external websites, and social media platforms.</w:t>
      </w:r>
    </w:p>
    <w:p w14:paraId="05886114" w14:textId="77777777" w:rsidR="004A37D1" w:rsidRPr="004A37D1" w:rsidRDefault="004A37D1" w:rsidP="007054F2">
      <w:pPr>
        <w:numPr>
          <w:ilvl w:val="0"/>
          <w:numId w:val="9"/>
        </w:numPr>
        <w:spacing w:after="200" w:line="276" w:lineRule="auto"/>
        <w:contextualSpacing/>
        <w:rPr>
          <w:rFonts w:ascii="Arial" w:eastAsia="Calibri" w:hAnsi="Arial" w:cs="Arial"/>
          <w:sz w:val="21"/>
          <w:szCs w:val="21"/>
          <w:lang w:eastAsia="en-AU"/>
        </w:rPr>
      </w:pPr>
      <w:r w:rsidRPr="004A37D1">
        <w:rPr>
          <w:rFonts w:ascii="Arial" w:eastAsia="Calibri" w:hAnsi="Arial" w:cs="Arial"/>
          <w:sz w:val="21"/>
          <w:szCs w:val="21"/>
          <w:lang w:eastAsia="en-AU"/>
        </w:rPr>
        <w:t xml:space="preserve">In partnership with the Commonwealth and other states and territories, the department developed and launched </w:t>
      </w:r>
      <w:r w:rsidRPr="004A37D1">
        <w:rPr>
          <w:rFonts w:ascii="Arial" w:eastAsia="Calibri" w:hAnsi="Arial" w:cs="Arial"/>
          <w:i/>
          <w:iCs/>
          <w:sz w:val="21"/>
          <w:szCs w:val="21"/>
          <w:lang w:eastAsia="en-AU"/>
        </w:rPr>
        <w:t>Australia’s Disability Strategy 2021–2031</w:t>
      </w:r>
      <w:r w:rsidRPr="004A37D1">
        <w:rPr>
          <w:rFonts w:ascii="Arial" w:eastAsia="Calibri" w:hAnsi="Arial" w:cs="Arial"/>
          <w:sz w:val="21"/>
          <w:szCs w:val="21"/>
          <w:lang w:eastAsia="en-AU"/>
        </w:rPr>
        <w:t>, which will play an important role in protecting, promoting and realising the human rights of people with disability in Queensland and across Australia, in line with Australia’s commitments under the United Nations Convention on the Rights of Persons with Disabilities (UN CRPD).</w:t>
      </w:r>
    </w:p>
    <w:p w14:paraId="5C00F92E" w14:textId="77777777" w:rsidR="004A37D1" w:rsidRPr="004A37D1" w:rsidRDefault="004A37D1" w:rsidP="007054F2">
      <w:pPr>
        <w:numPr>
          <w:ilvl w:val="0"/>
          <w:numId w:val="9"/>
        </w:numPr>
        <w:spacing w:after="200" w:line="276" w:lineRule="auto"/>
        <w:contextualSpacing/>
        <w:rPr>
          <w:rFonts w:ascii="Arial" w:eastAsia="Calibri" w:hAnsi="Arial" w:cs="Arial"/>
          <w:sz w:val="21"/>
          <w:szCs w:val="21"/>
          <w:lang w:eastAsia="en-AU"/>
        </w:rPr>
      </w:pPr>
      <w:r w:rsidRPr="004A37D1">
        <w:rPr>
          <w:rFonts w:ascii="Arial" w:eastAsia="Calibri" w:hAnsi="Arial" w:cs="Arial"/>
          <w:sz w:val="21"/>
          <w:szCs w:val="21"/>
          <w:lang w:eastAsia="en-AU"/>
        </w:rPr>
        <w:t>A three-month public consultation process was undertaken between November 2021 and January 2022 as part of the current review of Queensland’s positive behaviour support and restrictive practices authorisation framework. In recognition of the significant human rights issues involved, the key focus of the review included promoting the reduction and elimination of the use of restrictive practices, and ensuring restrictive practices are used only as a last resort and in the least restrictive way possible.</w:t>
      </w:r>
    </w:p>
    <w:p w14:paraId="2C644D67" w14:textId="77777777" w:rsidR="004A37D1" w:rsidRPr="004A37D1" w:rsidRDefault="004A37D1" w:rsidP="007054F2">
      <w:pPr>
        <w:numPr>
          <w:ilvl w:val="0"/>
          <w:numId w:val="9"/>
        </w:numPr>
        <w:spacing w:after="200" w:line="276" w:lineRule="auto"/>
        <w:contextualSpacing/>
        <w:rPr>
          <w:rFonts w:ascii="Arial" w:eastAsia="Calibri" w:hAnsi="Arial" w:cs="Arial"/>
          <w:sz w:val="21"/>
          <w:szCs w:val="21"/>
          <w:lang w:eastAsia="en-AU"/>
        </w:rPr>
      </w:pPr>
      <w:r w:rsidRPr="004A37D1">
        <w:rPr>
          <w:rFonts w:ascii="Arial" w:eastAsia="Calibri" w:hAnsi="Arial" w:cs="Arial"/>
          <w:sz w:val="21"/>
          <w:szCs w:val="21"/>
          <w:lang w:eastAsia="en-AU"/>
        </w:rPr>
        <w:t>Implementation of the Local Thriving Communities’ (LTC) reform advanced the preamble to the HR Act which acknowledges the importance of self-determination for Aboriginal and Torres Strait Islander Queenslanders. Consistent with this acknowledgement, Local Thriving Communities (LTC) is a long-term reform that facilitates the Queensland Government to respond to community needs and priorities; to bring decision-making closer to communities; and to enhance self-determination.</w:t>
      </w:r>
    </w:p>
    <w:p w14:paraId="1EFA2D48" w14:textId="77777777" w:rsidR="004A37D1" w:rsidRPr="004A37D1" w:rsidRDefault="004A37D1" w:rsidP="007054F2">
      <w:pPr>
        <w:numPr>
          <w:ilvl w:val="0"/>
          <w:numId w:val="9"/>
        </w:numPr>
        <w:spacing w:after="200" w:line="276" w:lineRule="auto"/>
        <w:contextualSpacing/>
        <w:rPr>
          <w:rFonts w:ascii="Arial" w:eastAsia="Calibri" w:hAnsi="Arial" w:cs="Arial"/>
          <w:sz w:val="21"/>
          <w:szCs w:val="21"/>
          <w:lang w:eastAsia="en-AU"/>
        </w:rPr>
      </w:pPr>
      <w:r w:rsidRPr="004A37D1">
        <w:rPr>
          <w:rFonts w:ascii="Arial" w:eastAsia="Calibri" w:hAnsi="Arial" w:cs="Arial"/>
          <w:sz w:val="21"/>
          <w:szCs w:val="21"/>
          <w:lang w:eastAsia="en-AU"/>
        </w:rPr>
        <w:t>The department is progressing a Path to Treaty in Queensland, which will help give effect to the principles of the HR Act that acknowledge the specific cultural rights of Aboriginal peoples and Torres Strait Islander peoples as recognised by section 28 of the HR Act. Path to Treaty is a long-term process, and actions and decisions related to this program will incorporate considerations of all relevant human rights to ensure compatibility with the HR Act.</w:t>
      </w:r>
    </w:p>
    <w:p w14:paraId="7EA7D3DB" w14:textId="77777777" w:rsidR="004A37D1" w:rsidRPr="004A37D1" w:rsidRDefault="004A37D1" w:rsidP="007054F2">
      <w:pPr>
        <w:numPr>
          <w:ilvl w:val="0"/>
          <w:numId w:val="8"/>
        </w:numPr>
        <w:spacing w:after="200" w:line="276" w:lineRule="auto"/>
        <w:contextualSpacing/>
        <w:rPr>
          <w:rFonts w:ascii="Arial" w:eastAsia="Calibri" w:hAnsi="Arial" w:cs="Arial"/>
          <w:sz w:val="21"/>
          <w:szCs w:val="21"/>
          <w:lang w:eastAsia="en-AU"/>
        </w:rPr>
      </w:pPr>
      <w:r w:rsidRPr="004A37D1">
        <w:rPr>
          <w:rFonts w:ascii="Arial" w:eastAsia="Calibri" w:hAnsi="Arial" w:cs="Arial"/>
          <w:sz w:val="21"/>
          <w:szCs w:val="21"/>
          <w:lang w:eastAsia="en-AU"/>
        </w:rPr>
        <w:t>The department is partnering with the Public Service Reform Office and Aboriginal and Torres Strait Islander stakeholders to ensure the public sector legislative framework, currently being developed, promotes and protects the distinct cultural rights of Aboriginal peoples and Torres Strait Islander peoples as provided for in section 28 of the HR Act.</w:t>
      </w:r>
    </w:p>
    <w:p w14:paraId="07777B50" w14:textId="77777777" w:rsidR="004A37D1" w:rsidRPr="004A37D1" w:rsidRDefault="004A37D1" w:rsidP="004A37D1">
      <w:pPr>
        <w:pStyle w:val="Heading3"/>
        <w:rPr>
          <w:rFonts w:eastAsia="Calibri"/>
        </w:rPr>
      </w:pPr>
      <w:bookmarkStart w:id="12" w:name="_Hlk109050780"/>
      <w:r w:rsidRPr="004A37D1">
        <w:rPr>
          <w:rFonts w:eastAsia="Calibri"/>
        </w:rPr>
        <w:t xml:space="preserve">Human rights complaints </w:t>
      </w:r>
    </w:p>
    <w:p w14:paraId="0DC25E31" w14:textId="77777777" w:rsidR="004A37D1" w:rsidRPr="004A37D1" w:rsidRDefault="004A37D1" w:rsidP="004A37D1">
      <w:pPr>
        <w:pStyle w:val="Heading4"/>
      </w:pPr>
      <w:r w:rsidRPr="004A37D1">
        <w:t xml:space="preserve">Customer human rights complaints </w:t>
      </w:r>
    </w:p>
    <w:p w14:paraId="74A44521" w14:textId="77777777" w:rsidR="004A37D1" w:rsidRPr="004A37D1" w:rsidRDefault="004A37D1" w:rsidP="004A37D1">
      <w:pPr>
        <w:spacing w:after="120" w:line="240" w:lineRule="auto"/>
        <w:rPr>
          <w:rFonts w:ascii="Arial" w:eastAsia="Calibri" w:hAnsi="Arial" w:cs="Arial"/>
          <w:sz w:val="21"/>
          <w:szCs w:val="21"/>
          <w:lang w:val="en-US"/>
        </w:rPr>
      </w:pPr>
      <w:r w:rsidRPr="004A37D1">
        <w:rPr>
          <w:rFonts w:ascii="Arial" w:eastAsia="Calibri" w:hAnsi="Arial" w:cs="Arial"/>
          <w:sz w:val="21"/>
          <w:szCs w:val="21"/>
          <w:lang w:val="en-US"/>
        </w:rPr>
        <w:t xml:space="preserve">During the reporting period, the department had three* customer complaints that were identified to engage various human rights </w:t>
      </w:r>
      <w:r w:rsidRPr="004A37D1">
        <w:rPr>
          <w:rFonts w:ascii="Arial" w:eastAsia="Calibri" w:hAnsi="Arial" w:cs="Arial"/>
          <w:sz w:val="18"/>
          <w:szCs w:val="18"/>
          <w:lang w:val="en-US"/>
        </w:rPr>
        <w:t>(*some matters contained multiple human rights issues)</w:t>
      </w:r>
      <w:r w:rsidRPr="004A37D1">
        <w:rPr>
          <w:rFonts w:ascii="Arial" w:eastAsia="Calibri" w:hAnsi="Arial" w:cs="Arial"/>
          <w:sz w:val="21"/>
          <w:szCs w:val="21"/>
          <w:lang w:val="en-US"/>
        </w:rPr>
        <w:t>:</w:t>
      </w:r>
    </w:p>
    <w:p w14:paraId="5CFD0031" w14:textId="77777777" w:rsidR="004A37D1" w:rsidRPr="00695E3F" w:rsidRDefault="004A37D1" w:rsidP="007054F2">
      <w:pPr>
        <w:pStyle w:val="ListParagraph"/>
        <w:numPr>
          <w:ilvl w:val="0"/>
          <w:numId w:val="8"/>
        </w:numPr>
        <w:tabs>
          <w:tab w:val="num" w:pos="360"/>
        </w:tabs>
        <w:spacing w:after="120"/>
        <w:ind w:hanging="720"/>
        <w:rPr>
          <w:lang w:val="en-US"/>
        </w:rPr>
      </w:pPr>
      <w:r w:rsidRPr="00695E3F">
        <w:rPr>
          <w:lang w:val="en-US"/>
        </w:rPr>
        <w:t xml:space="preserve">2 related to s.17. Protection from torture and cruel, inhuman or degrading treatment </w:t>
      </w:r>
    </w:p>
    <w:p w14:paraId="70FD45B8" w14:textId="77777777" w:rsidR="004A37D1" w:rsidRPr="00695E3F" w:rsidRDefault="004A37D1" w:rsidP="007054F2">
      <w:pPr>
        <w:pStyle w:val="ListParagraph"/>
        <w:numPr>
          <w:ilvl w:val="0"/>
          <w:numId w:val="8"/>
        </w:numPr>
        <w:tabs>
          <w:tab w:val="num" w:pos="360"/>
        </w:tabs>
        <w:spacing w:after="120"/>
        <w:ind w:hanging="720"/>
        <w:rPr>
          <w:lang w:val="en-US"/>
        </w:rPr>
      </w:pPr>
      <w:r w:rsidRPr="00695E3F">
        <w:rPr>
          <w:lang w:val="en-US"/>
        </w:rPr>
        <w:t>2 related to s.29. Right to liberty and security of person</w:t>
      </w:r>
    </w:p>
    <w:p w14:paraId="3F688F97" w14:textId="77777777" w:rsidR="004A37D1" w:rsidRPr="00695E3F" w:rsidRDefault="004A37D1" w:rsidP="007054F2">
      <w:pPr>
        <w:pStyle w:val="ListParagraph"/>
        <w:numPr>
          <w:ilvl w:val="0"/>
          <w:numId w:val="8"/>
        </w:numPr>
        <w:tabs>
          <w:tab w:val="num" w:pos="360"/>
        </w:tabs>
        <w:spacing w:after="120"/>
        <w:ind w:hanging="720"/>
        <w:rPr>
          <w:lang w:val="en-US"/>
        </w:rPr>
      </w:pPr>
      <w:r w:rsidRPr="00695E3F">
        <w:rPr>
          <w:lang w:val="en-US"/>
        </w:rPr>
        <w:t xml:space="preserve">1 related to s.25. Privacy and reputation </w:t>
      </w:r>
    </w:p>
    <w:p w14:paraId="2959757D" w14:textId="77777777" w:rsidR="004A37D1" w:rsidRPr="00695E3F" w:rsidRDefault="004A37D1" w:rsidP="007054F2">
      <w:pPr>
        <w:pStyle w:val="ListParagraph"/>
        <w:numPr>
          <w:ilvl w:val="0"/>
          <w:numId w:val="8"/>
        </w:numPr>
        <w:tabs>
          <w:tab w:val="num" w:pos="360"/>
        </w:tabs>
        <w:spacing w:after="120"/>
        <w:ind w:hanging="720"/>
        <w:rPr>
          <w:lang w:val="en-US"/>
        </w:rPr>
      </w:pPr>
      <w:r w:rsidRPr="00695E3F">
        <w:rPr>
          <w:lang w:val="en-US"/>
        </w:rPr>
        <w:t xml:space="preserve">1 related to s.30. Humane treatment when deprived of liberty </w:t>
      </w:r>
    </w:p>
    <w:p w14:paraId="67FD09E2" w14:textId="77777777" w:rsidR="004A37D1" w:rsidRPr="00695E3F" w:rsidRDefault="004A37D1" w:rsidP="007054F2">
      <w:pPr>
        <w:pStyle w:val="ListParagraph"/>
        <w:numPr>
          <w:ilvl w:val="0"/>
          <w:numId w:val="8"/>
        </w:numPr>
        <w:tabs>
          <w:tab w:val="num" w:pos="360"/>
        </w:tabs>
        <w:spacing w:after="360" w:line="240" w:lineRule="auto"/>
        <w:ind w:hanging="720"/>
        <w:rPr>
          <w:lang w:val="en-US"/>
        </w:rPr>
      </w:pPr>
      <w:r w:rsidRPr="00695E3F">
        <w:rPr>
          <w:lang w:val="en-US"/>
        </w:rPr>
        <w:t>1 related to s.28. Cultural rights—Aboriginal peoples and Torres Strait Islander peoples.</w:t>
      </w:r>
    </w:p>
    <w:p w14:paraId="71711C42" w14:textId="77777777" w:rsidR="004A37D1" w:rsidRPr="004A37D1" w:rsidRDefault="004A37D1" w:rsidP="004A37D1">
      <w:pPr>
        <w:spacing w:before="240" w:after="120" w:line="240" w:lineRule="auto"/>
        <w:rPr>
          <w:rFonts w:ascii="Arial" w:eastAsia="Calibri" w:hAnsi="Arial" w:cs="Arial"/>
          <w:sz w:val="21"/>
          <w:szCs w:val="21"/>
          <w:lang w:val="en-US"/>
        </w:rPr>
      </w:pPr>
      <w:r w:rsidRPr="004A37D1">
        <w:rPr>
          <w:rFonts w:ascii="Arial" w:eastAsia="Calibri" w:hAnsi="Arial" w:cs="Arial"/>
          <w:sz w:val="21"/>
          <w:szCs w:val="21"/>
          <w:lang w:val="en-US"/>
        </w:rPr>
        <w:lastRenderedPageBreak/>
        <w:t>Outcome and resolutions as at 30 June 2022:</w:t>
      </w:r>
    </w:p>
    <w:p w14:paraId="1B56052B" w14:textId="77777777" w:rsidR="004A37D1" w:rsidRPr="004A37D1" w:rsidRDefault="004A37D1" w:rsidP="007054F2">
      <w:pPr>
        <w:pStyle w:val="ListParagraph"/>
        <w:numPr>
          <w:ilvl w:val="0"/>
          <w:numId w:val="8"/>
        </w:numPr>
        <w:tabs>
          <w:tab w:val="num" w:pos="360"/>
        </w:tabs>
        <w:spacing w:after="120"/>
        <w:ind w:hanging="720"/>
        <w:rPr>
          <w:lang w:val="en-US"/>
        </w:rPr>
      </w:pPr>
      <w:r w:rsidRPr="004A37D1">
        <w:rPr>
          <w:lang w:val="en-US"/>
        </w:rPr>
        <w:t>concerns about three human rights were resolved as not substantiated (related to s.25, s.17 and s.29)</w:t>
      </w:r>
    </w:p>
    <w:p w14:paraId="4E10F965" w14:textId="296E86D9" w:rsidR="004A37D1" w:rsidRPr="00695E3F" w:rsidRDefault="004A37D1" w:rsidP="007054F2">
      <w:pPr>
        <w:pStyle w:val="ListParagraph"/>
        <w:numPr>
          <w:ilvl w:val="0"/>
          <w:numId w:val="8"/>
        </w:numPr>
        <w:tabs>
          <w:tab w:val="num" w:pos="360"/>
        </w:tabs>
        <w:spacing w:after="120"/>
        <w:ind w:left="426" w:hanging="426"/>
        <w:rPr>
          <w:rFonts w:eastAsia="Calibri"/>
        </w:rPr>
      </w:pPr>
      <w:r w:rsidRPr="004A37D1">
        <w:rPr>
          <w:rFonts w:eastAsia="Calibri"/>
        </w:rPr>
        <w:t>concerns about the other four were still being considered by the department/not yet finalised (subject t</w:t>
      </w:r>
      <w:r w:rsidRPr="00695E3F">
        <w:rPr>
          <w:rFonts w:eastAsia="Calibri"/>
        </w:rPr>
        <w:t xml:space="preserve">o </w:t>
      </w:r>
      <w:r w:rsidRPr="00695E3F">
        <w:rPr>
          <w:rFonts w:eastAsia="Calibri"/>
          <w:lang w:val="en-US" w:eastAsia="en-US"/>
        </w:rPr>
        <w:t>ongoing</w:t>
      </w:r>
      <w:r w:rsidRPr="00695E3F">
        <w:rPr>
          <w:rFonts w:eastAsia="Calibri"/>
        </w:rPr>
        <w:t xml:space="preserve"> departmental investigation or other processes).</w:t>
      </w:r>
    </w:p>
    <w:p w14:paraId="7C3C690F" w14:textId="77777777" w:rsidR="004A37D1" w:rsidRPr="004A37D1" w:rsidRDefault="004A37D1" w:rsidP="004A37D1">
      <w:pPr>
        <w:pStyle w:val="Heading4"/>
      </w:pPr>
      <w:r w:rsidRPr="004A37D1">
        <w:t>Human resources—staff (internal) human rights complaints</w:t>
      </w:r>
    </w:p>
    <w:p w14:paraId="34976EB1" w14:textId="77777777" w:rsidR="004A37D1" w:rsidRPr="004A37D1" w:rsidRDefault="004A37D1" w:rsidP="004A37D1">
      <w:pPr>
        <w:spacing w:after="200" w:line="276" w:lineRule="auto"/>
        <w:rPr>
          <w:rFonts w:ascii="Arial" w:eastAsia="Calibri" w:hAnsi="Arial" w:cs="Arial"/>
          <w:sz w:val="21"/>
          <w:szCs w:val="21"/>
          <w:lang w:val="en-US"/>
        </w:rPr>
      </w:pPr>
      <w:bookmarkStart w:id="13" w:name="_Hlk77934935"/>
      <w:r w:rsidRPr="004A37D1">
        <w:rPr>
          <w:rFonts w:ascii="Arial" w:eastAsia="Calibri" w:hAnsi="Arial" w:cs="Arial"/>
          <w:sz w:val="21"/>
          <w:szCs w:val="21"/>
          <w:lang w:val="en-US"/>
        </w:rPr>
        <w:t xml:space="preserve">During the reporting period, the department did not receive any complaints directly referring to the </w:t>
      </w:r>
      <w:r w:rsidRPr="004A37D1">
        <w:rPr>
          <w:rFonts w:ascii="Arial" w:eastAsia="Calibri" w:hAnsi="Arial" w:cs="Arial"/>
          <w:i/>
          <w:sz w:val="21"/>
          <w:szCs w:val="21"/>
          <w:lang w:val="en-US"/>
        </w:rPr>
        <w:t>Human Rights Act 2019</w:t>
      </w:r>
      <w:r w:rsidRPr="004A37D1">
        <w:rPr>
          <w:rFonts w:ascii="Arial" w:eastAsia="Calibri" w:hAnsi="Arial" w:cs="Arial"/>
          <w:sz w:val="21"/>
          <w:szCs w:val="21"/>
          <w:lang w:val="en-US"/>
        </w:rPr>
        <w:t xml:space="preserve">; however, when assessed, there were 42* matters containing identified human rights that may have been engaged </w:t>
      </w:r>
      <w:bookmarkStart w:id="14" w:name="_Hlk111473301"/>
      <w:r w:rsidRPr="004A37D1">
        <w:rPr>
          <w:rFonts w:ascii="Arial" w:eastAsia="Calibri" w:hAnsi="Arial" w:cs="Arial"/>
          <w:sz w:val="18"/>
          <w:szCs w:val="18"/>
          <w:lang w:val="en-US"/>
        </w:rPr>
        <w:t>(*some matters contained multiple human rights issues</w:t>
      </w:r>
      <w:bookmarkEnd w:id="14"/>
      <w:r w:rsidRPr="004A37D1">
        <w:rPr>
          <w:rFonts w:ascii="Arial" w:eastAsia="Calibri" w:hAnsi="Arial" w:cs="Arial"/>
          <w:sz w:val="18"/>
          <w:szCs w:val="18"/>
          <w:lang w:val="en-US"/>
        </w:rPr>
        <w:t>)</w:t>
      </w:r>
      <w:r w:rsidRPr="004A37D1">
        <w:rPr>
          <w:rFonts w:ascii="Arial" w:eastAsia="Calibri" w:hAnsi="Arial" w:cs="Arial"/>
          <w:sz w:val="21"/>
          <w:szCs w:val="21"/>
          <w:lang w:val="en-US"/>
        </w:rPr>
        <w:t>.</w:t>
      </w:r>
    </w:p>
    <w:bookmarkEnd w:id="13"/>
    <w:p w14:paraId="307E5B16" w14:textId="77777777" w:rsidR="004A37D1" w:rsidRPr="004A37D1" w:rsidRDefault="004A37D1" w:rsidP="004A37D1">
      <w:pPr>
        <w:spacing w:after="120" w:line="240" w:lineRule="auto"/>
        <w:rPr>
          <w:rFonts w:ascii="Arial" w:eastAsia="Calibri" w:hAnsi="Arial" w:cs="Arial"/>
          <w:sz w:val="21"/>
          <w:szCs w:val="21"/>
          <w:lang w:val="en-US"/>
        </w:rPr>
      </w:pPr>
      <w:r w:rsidRPr="004A37D1">
        <w:rPr>
          <w:rFonts w:ascii="Arial" w:eastAsia="Calibri" w:hAnsi="Arial" w:cs="Arial"/>
          <w:sz w:val="21"/>
          <w:szCs w:val="21"/>
          <w:lang w:val="en-US"/>
        </w:rPr>
        <w:t>The identified human rights that were alleged to have been engaged were:</w:t>
      </w:r>
    </w:p>
    <w:p w14:paraId="7A792C36"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3 referred to s15. Recognition and equality before the law</w:t>
      </w:r>
    </w:p>
    <w:p w14:paraId="15A20FED"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 xml:space="preserve">19 referred to s17. Protection from torture and cruel, inhuman or degrading treatment </w:t>
      </w:r>
    </w:p>
    <w:p w14:paraId="0549B7C4"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4 referred to s25. Privacy and reputation</w:t>
      </w:r>
    </w:p>
    <w:p w14:paraId="781B844F"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18 referred to s29. Right to liberty and security of person</w:t>
      </w:r>
    </w:p>
    <w:p w14:paraId="52AFCE0C" w14:textId="77777777" w:rsidR="004A37D1" w:rsidRPr="004A37D1" w:rsidRDefault="004A37D1" w:rsidP="007054F2">
      <w:pPr>
        <w:numPr>
          <w:ilvl w:val="0"/>
          <w:numId w:val="12"/>
        </w:numPr>
        <w:spacing w:after="240" w:line="240" w:lineRule="auto"/>
        <w:ind w:left="714" w:hanging="357"/>
        <w:contextualSpacing/>
        <w:rPr>
          <w:rFonts w:ascii="Arial" w:eastAsia="Calibri" w:hAnsi="Arial" w:cs="Arial"/>
          <w:sz w:val="21"/>
          <w:szCs w:val="21"/>
          <w:lang w:val="en-US"/>
        </w:rPr>
      </w:pPr>
      <w:r w:rsidRPr="004A37D1">
        <w:rPr>
          <w:rFonts w:ascii="Arial" w:eastAsia="Calibri" w:hAnsi="Arial" w:cs="Arial"/>
          <w:sz w:val="21"/>
          <w:szCs w:val="21"/>
          <w:lang w:val="en-US"/>
        </w:rPr>
        <w:t>2 referred to s37. Right to health services.</w:t>
      </w:r>
    </w:p>
    <w:p w14:paraId="3D808C3C" w14:textId="77777777" w:rsidR="004A37D1" w:rsidRPr="004A37D1" w:rsidRDefault="004A37D1" w:rsidP="004A37D1">
      <w:pPr>
        <w:spacing w:before="360" w:after="120" w:line="240" w:lineRule="auto"/>
        <w:rPr>
          <w:rFonts w:ascii="Arial" w:eastAsia="Calibri" w:hAnsi="Arial" w:cs="Arial"/>
          <w:sz w:val="21"/>
          <w:szCs w:val="21"/>
          <w:lang w:val="en-US"/>
        </w:rPr>
      </w:pPr>
      <w:r w:rsidRPr="004A37D1">
        <w:rPr>
          <w:rFonts w:ascii="Arial" w:eastAsia="Calibri" w:hAnsi="Arial" w:cs="Arial"/>
          <w:sz w:val="21"/>
          <w:szCs w:val="21"/>
          <w:lang w:val="en-US"/>
        </w:rPr>
        <w:t>As at 30 June 2022, the outcomes and resolutions were:</w:t>
      </w:r>
    </w:p>
    <w:p w14:paraId="0790A687"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21 were resolved as not substantiated (5 related to s17. protection from torture and cruel, inhuman or degrading treatment; one related to s25. privacy and reputation and 15 related to s29. right to liberty and security of person)</w:t>
      </w:r>
    </w:p>
    <w:p w14:paraId="53513C85"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8 were resolved as substantiated (2 related to s15. recognition and equality before the law; 2 related to s17. protection from torture and cruel, inhuman or degrading treatment; 1 related to s25. privacy and reputation; 2 related to s29. right to liberty and security of person; and 1 related to s37. right to health services)</w:t>
      </w:r>
    </w:p>
    <w:p w14:paraId="6E8B8BFC" w14:textId="77777777" w:rsidR="004A37D1" w:rsidRPr="004A37D1" w:rsidRDefault="004A37D1" w:rsidP="007054F2">
      <w:pPr>
        <w:numPr>
          <w:ilvl w:val="0"/>
          <w:numId w:val="12"/>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 xml:space="preserve">17 were still being considered by the department/not yet </w:t>
      </w:r>
      <w:proofErr w:type="spellStart"/>
      <w:r w:rsidRPr="004A37D1">
        <w:rPr>
          <w:rFonts w:ascii="Arial" w:eastAsia="Calibri" w:hAnsi="Arial" w:cs="Arial"/>
          <w:sz w:val="21"/>
          <w:szCs w:val="21"/>
          <w:lang w:val="en-US"/>
        </w:rPr>
        <w:t>finalised</w:t>
      </w:r>
      <w:proofErr w:type="spellEnd"/>
      <w:r w:rsidRPr="004A37D1">
        <w:rPr>
          <w:rFonts w:ascii="Arial" w:eastAsia="Calibri" w:hAnsi="Arial" w:cs="Arial"/>
          <w:sz w:val="21"/>
          <w:szCs w:val="21"/>
          <w:lang w:val="en-US"/>
        </w:rPr>
        <w:t xml:space="preserve"> (subject to ongoing departmental investigation or other processes).</w:t>
      </w:r>
    </w:p>
    <w:bookmarkEnd w:id="12"/>
    <w:p w14:paraId="7A86424C" w14:textId="77777777" w:rsidR="004A37D1" w:rsidRPr="004A37D1" w:rsidRDefault="004A37D1" w:rsidP="004A37D1">
      <w:pPr>
        <w:pStyle w:val="Heading3"/>
      </w:pPr>
      <w:r w:rsidRPr="004A37D1">
        <w:t xml:space="preserve">Reviews of policy, programs, procedures, practices or services undertaken for compatibility with human rights </w:t>
      </w:r>
    </w:p>
    <w:p w14:paraId="0BAA5247" w14:textId="77777777" w:rsidR="004A37D1" w:rsidRPr="004A37D1" w:rsidRDefault="004A37D1" w:rsidP="004A37D1">
      <w:pPr>
        <w:spacing w:after="120" w:line="240" w:lineRule="auto"/>
        <w:rPr>
          <w:rFonts w:ascii="Arial" w:eastAsia="Calibri" w:hAnsi="Arial" w:cs="Arial"/>
          <w:sz w:val="21"/>
          <w:szCs w:val="21"/>
          <w:lang w:val="en-US"/>
        </w:rPr>
      </w:pPr>
      <w:r w:rsidRPr="004A37D1">
        <w:rPr>
          <w:rFonts w:ascii="Arial" w:eastAsia="Calibri" w:hAnsi="Arial" w:cs="Arial"/>
          <w:sz w:val="21"/>
          <w:szCs w:val="21"/>
          <w:lang w:val="en-US"/>
        </w:rPr>
        <w:t>During the reporting period, the following reviews were undertaken for compatibility with human rights:</w:t>
      </w:r>
    </w:p>
    <w:p w14:paraId="20231A3A" w14:textId="77777777" w:rsidR="004A37D1" w:rsidRPr="004A37D1" w:rsidRDefault="004A37D1" w:rsidP="007054F2">
      <w:pPr>
        <w:numPr>
          <w:ilvl w:val="0"/>
          <w:numId w:val="10"/>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 xml:space="preserve">the review of the </w:t>
      </w:r>
      <w:r w:rsidRPr="004A37D1">
        <w:rPr>
          <w:rFonts w:ascii="Arial" w:eastAsia="Calibri" w:hAnsi="Arial" w:cs="Arial"/>
          <w:i/>
          <w:iCs/>
          <w:sz w:val="21"/>
          <w:szCs w:val="21"/>
          <w:lang w:val="en-US"/>
        </w:rPr>
        <w:t xml:space="preserve">Aboriginal Cultural Heritage Act 2003 </w:t>
      </w:r>
      <w:r w:rsidRPr="004A37D1">
        <w:rPr>
          <w:rFonts w:ascii="Arial" w:eastAsia="Calibri" w:hAnsi="Arial" w:cs="Arial"/>
          <w:sz w:val="21"/>
          <w:szCs w:val="21"/>
          <w:lang w:val="en-US"/>
        </w:rPr>
        <w:t xml:space="preserve">and </w:t>
      </w:r>
      <w:r w:rsidRPr="004A37D1">
        <w:rPr>
          <w:rFonts w:ascii="Arial" w:eastAsia="Calibri" w:hAnsi="Arial" w:cs="Arial"/>
          <w:i/>
          <w:iCs/>
          <w:sz w:val="21"/>
          <w:szCs w:val="21"/>
          <w:lang w:val="en-US"/>
        </w:rPr>
        <w:t>Torres Strait Islander Cultural Heritage Act 2003</w:t>
      </w:r>
      <w:r w:rsidRPr="004A37D1">
        <w:rPr>
          <w:rFonts w:ascii="Arial" w:eastAsia="Calibri" w:hAnsi="Arial" w:cs="Arial"/>
          <w:sz w:val="21"/>
          <w:szCs w:val="21"/>
          <w:lang w:val="en-US"/>
        </w:rPr>
        <w:t xml:space="preserve"> (Cultural Heritage Acts) is underway, and an options paper was publicly released from 17 December 2021 to 31 March 2022</w:t>
      </w:r>
    </w:p>
    <w:p w14:paraId="7DB1F1E4" w14:textId="77777777" w:rsidR="004A37D1" w:rsidRPr="004A37D1" w:rsidRDefault="004A37D1" w:rsidP="007054F2">
      <w:pPr>
        <w:numPr>
          <w:ilvl w:val="0"/>
          <w:numId w:val="10"/>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 xml:space="preserve">human rights certificates were developed with respect to the </w:t>
      </w:r>
      <w:r w:rsidRPr="004A37D1">
        <w:rPr>
          <w:rFonts w:ascii="Arial" w:eastAsia="Calibri" w:hAnsi="Arial" w:cs="Arial"/>
          <w:i/>
          <w:iCs/>
          <w:sz w:val="21"/>
          <w:szCs w:val="21"/>
          <w:lang w:val="en-US"/>
        </w:rPr>
        <w:t>Liquor (Mornington) and Other Legislation Amendment Regulation 2022 (</w:t>
      </w:r>
      <w:r w:rsidRPr="004A37D1">
        <w:rPr>
          <w:rFonts w:ascii="Arial" w:eastAsia="Calibri" w:hAnsi="Arial" w:cs="Arial"/>
          <w:sz w:val="21"/>
          <w:szCs w:val="21"/>
          <w:lang w:val="en-US"/>
        </w:rPr>
        <w:t>Amendment Regulation</w:t>
      </w:r>
      <w:proofErr w:type="gramStart"/>
      <w:r w:rsidRPr="004A37D1">
        <w:rPr>
          <w:rFonts w:ascii="Arial" w:eastAsia="Calibri" w:hAnsi="Arial" w:cs="Arial"/>
          <w:sz w:val="21"/>
          <w:szCs w:val="21"/>
          <w:lang w:val="en-US"/>
        </w:rPr>
        <w:t>)</w:t>
      </w:r>
      <w:proofErr w:type="gramEnd"/>
      <w:r w:rsidRPr="004A37D1">
        <w:rPr>
          <w:rFonts w:ascii="Arial" w:eastAsia="Calibri" w:hAnsi="Arial" w:cs="Arial"/>
          <w:sz w:val="21"/>
          <w:szCs w:val="21"/>
          <w:lang w:val="en-US"/>
        </w:rPr>
        <w:t xml:space="preserve"> and the </w:t>
      </w:r>
      <w:r w:rsidRPr="004A37D1">
        <w:rPr>
          <w:rFonts w:ascii="Arial" w:eastAsia="Calibri" w:hAnsi="Arial" w:cs="Arial"/>
          <w:i/>
          <w:iCs/>
          <w:sz w:val="21"/>
          <w:szCs w:val="21"/>
          <w:lang w:val="en-US"/>
        </w:rPr>
        <w:t>Liquor (Kowanyama) and Other Legislation Amendment Regulation 2022</w:t>
      </w:r>
      <w:r w:rsidRPr="004A37D1">
        <w:rPr>
          <w:rFonts w:ascii="Arial" w:eastAsia="Calibri" w:hAnsi="Arial" w:cs="Arial"/>
          <w:sz w:val="21"/>
          <w:szCs w:val="21"/>
          <w:lang w:val="en-US"/>
        </w:rPr>
        <w:t xml:space="preserve"> made under the </w:t>
      </w:r>
      <w:r w:rsidRPr="004A37D1">
        <w:rPr>
          <w:rFonts w:ascii="Arial" w:eastAsia="Calibri" w:hAnsi="Arial" w:cs="Arial"/>
          <w:i/>
          <w:iCs/>
          <w:sz w:val="21"/>
          <w:szCs w:val="21"/>
          <w:lang w:val="en-US"/>
        </w:rPr>
        <w:t>Liquor Act 1992</w:t>
      </w:r>
      <w:r w:rsidRPr="004A37D1">
        <w:rPr>
          <w:rFonts w:ascii="Arial" w:eastAsia="Calibri" w:hAnsi="Arial" w:cs="Arial"/>
          <w:sz w:val="21"/>
          <w:szCs w:val="21"/>
          <w:lang w:val="en-US"/>
        </w:rPr>
        <w:t xml:space="preserve"> (Liquor Act) and the </w:t>
      </w:r>
      <w:r w:rsidRPr="004A37D1">
        <w:rPr>
          <w:rFonts w:ascii="Arial" w:eastAsia="Calibri" w:hAnsi="Arial" w:cs="Arial"/>
          <w:i/>
          <w:iCs/>
          <w:sz w:val="21"/>
          <w:szCs w:val="21"/>
          <w:lang w:val="en-US"/>
        </w:rPr>
        <w:t xml:space="preserve">Aboriginal and Torres Strait Islander Communities (Justice, Land and Other Matters) Act 1984 </w:t>
      </w:r>
      <w:r w:rsidRPr="004A37D1">
        <w:rPr>
          <w:rFonts w:ascii="Arial" w:eastAsia="Calibri" w:hAnsi="Arial" w:cs="Arial"/>
          <w:sz w:val="21"/>
          <w:szCs w:val="21"/>
          <w:lang w:val="en-US"/>
        </w:rPr>
        <w:t>(JLOM</w:t>
      </w:r>
      <w:r w:rsidRPr="004A37D1">
        <w:rPr>
          <w:rFonts w:ascii="Arial" w:eastAsia="Calibri" w:hAnsi="Arial" w:cs="Arial"/>
          <w:i/>
          <w:iCs/>
          <w:sz w:val="21"/>
          <w:szCs w:val="21"/>
          <w:lang w:val="en-US"/>
        </w:rPr>
        <w:t xml:space="preserve"> </w:t>
      </w:r>
      <w:r w:rsidRPr="004A37D1">
        <w:rPr>
          <w:rFonts w:ascii="Arial" w:eastAsia="Calibri" w:hAnsi="Arial" w:cs="Arial"/>
          <w:sz w:val="21"/>
          <w:szCs w:val="21"/>
          <w:lang w:val="en-US"/>
        </w:rPr>
        <w:t>Act)</w:t>
      </w:r>
      <w:r w:rsidRPr="004A37D1">
        <w:rPr>
          <w:rFonts w:ascii="Arial" w:eastAsia="Calibri" w:hAnsi="Arial" w:cs="Arial"/>
          <w:i/>
          <w:iCs/>
          <w:sz w:val="21"/>
          <w:szCs w:val="21"/>
          <w:lang w:val="en-US"/>
        </w:rPr>
        <w:t xml:space="preserve">. </w:t>
      </w:r>
      <w:r w:rsidRPr="004A37D1">
        <w:rPr>
          <w:rFonts w:ascii="Arial" w:eastAsia="Calibri" w:hAnsi="Arial" w:cs="Arial"/>
          <w:sz w:val="21"/>
          <w:szCs w:val="21"/>
          <w:lang w:val="en-US"/>
        </w:rPr>
        <w:t>Due to Mornington and Kowanyama Shires’ requests to maintain a ban on home brew and home brew equipment following the introduction of an alcohol carriage limit, the following human rights were engaged by the Amendment Regulation: equal protection of the law without discrimination (section 15(3) of the HR Act); and right to property (section 24 of the HR Act)</w:t>
      </w:r>
    </w:p>
    <w:p w14:paraId="2E99BB54" w14:textId="77777777" w:rsidR="004A37D1" w:rsidRPr="004A37D1" w:rsidRDefault="004A37D1" w:rsidP="007054F2">
      <w:pPr>
        <w:numPr>
          <w:ilvl w:val="0"/>
          <w:numId w:val="10"/>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 xml:space="preserve">the provisions in the JLOM Act regarding home brew constitute a ‘special measure’ under the </w:t>
      </w:r>
      <w:r w:rsidRPr="004A37D1">
        <w:rPr>
          <w:rFonts w:ascii="Arial" w:eastAsia="Calibri" w:hAnsi="Arial" w:cs="Arial"/>
          <w:i/>
          <w:iCs/>
          <w:sz w:val="21"/>
          <w:szCs w:val="21"/>
          <w:lang w:val="en-US"/>
        </w:rPr>
        <w:t>Racial Discrimination Act 1975</w:t>
      </w:r>
      <w:r w:rsidRPr="004A37D1">
        <w:rPr>
          <w:rFonts w:ascii="Arial" w:eastAsia="Calibri" w:hAnsi="Arial" w:cs="Arial"/>
          <w:sz w:val="21"/>
          <w:szCs w:val="21"/>
          <w:lang w:val="en-US"/>
        </w:rPr>
        <w:t xml:space="preserve"> (</w:t>
      </w:r>
      <w:proofErr w:type="spellStart"/>
      <w:r w:rsidRPr="004A37D1">
        <w:rPr>
          <w:rFonts w:ascii="Arial" w:eastAsia="Calibri" w:hAnsi="Arial" w:cs="Arial"/>
          <w:sz w:val="21"/>
          <w:szCs w:val="21"/>
          <w:lang w:val="en-US"/>
        </w:rPr>
        <w:t>Cth</w:t>
      </w:r>
      <w:proofErr w:type="spellEnd"/>
      <w:r w:rsidRPr="004A37D1">
        <w:rPr>
          <w:rFonts w:ascii="Arial" w:eastAsia="Calibri" w:hAnsi="Arial" w:cs="Arial"/>
          <w:sz w:val="21"/>
          <w:szCs w:val="21"/>
          <w:lang w:val="en-US"/>
        </w:rPr>
        <w:t xml:space="preserve">). It was recommended that human rights engaged in relation to these purposes were reasonable and justifiable to support local decision-making around alcohol management to impose constraints on individual liberties in </w:t>
      </w:r>
      <w:proofErr w:type="spellStart"/>
      <w:r w:rsidRPr="004A37D1">
        <w:rPr>
          <w:rFonts w:ascii="Arial" w:eastAsia="Calibri" w:hAnsi="Arial" w:cs="Arial"/>
          <w:sz w:val="21"/>
          <w:szCs w:val="21"/>
          <w:lang w:val="en-US"/>
        </w:rPr>
        <w:t>favour</w:t>
      </w:r>
      <w:proofErr w:type="spellEnd"/>
      <w:r w:rsidRPr="004A37D1">
        <w:rPr>
          <w:rFonts w:ascii="Arial" w:eastAsia="Calibri" w:hAnsi="Arial" w:cs="Arial"/>
          <w:sz w:val="21"/>
          <w:szCs w:val="21"/>
          <w:lang w:val="en-US"/>
        </w:rPr>
        <w:t xml:space="preserve"> of promoting safety for the broader community  </w:t>
      </w:r>
    </w:p>
    <w:p w14:paraId="5AB456F6" w14:textId="77777777" w:rsidR="004A37D1" w:rsidRPr="004A37D1" w:rsidRDefault="004A37D1" w:rsidP="007054F2">
      <w:pPr>
        <w:numPr>
          <w:ilvl w:val="0"/>
          <w:numId w:val="10"/>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commissioning an independent review of the portfolio body, the Family Responsibilities Commission (FRC), which will include ensuring the work of the FRC is consistent with the HR Act</w:t>
      </w:r>
    </w:p>
    <w:p w14:paraId="53790637" w14:textId="77777777" w:rsidR="004A37D1" w:rsidRPr="004A37D1" w:rsidRDefault="004A37D1" w:rsidP="007054F2">
      <w:pPr>
        <w:numPr>
          <w:ilvl w:val="0"/>
          <w:numId w:val="10"/>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 xml:space="preserve">consideration of the legislative amendments to the </w:t>
      </w:r>
      <w:r w:rsidRPr="004A37D1">
        <w:rPr>
          <w:rFonts w:ascii="Arial" w:eastAsia="Calibri" w:hAnsi="Arial" w:cs="Arial"/>
          <w:i/>
          <w:iCs/>
          <w:sz w:val="21"/>
          <w:szCs w:val="21"/>
          <w:lang w:val="en-US"/>
        </w:rPr>
        <w:t>Disability Services Act 2006</w:t>
      </w:r>
      <w:r w:rsidRPr="004A37D1">
        <w:rPr>
          <w:rFonts w:ascii="Arial" w:eastAsia="Calibri" w:hAnsi="Arial" w:cs="Arial"/>
          <w:sz w:val="21"/>
          <w:szCs w:val="21"/>
          <w:lang w:val="en-US"/>
        </w:rPr>
        <w:t xml:space="preserve"> and the </w:t>
      </w:r>
      <w:r w:rsidRPr="004A37D1">
        <w:rPr>
          <w:rFonts w:ascii="Arial" w:eastAsia="Calibri" w:hAnsi="Arial" w:cs="Arial"/>
          <w:i/>
          <w:iCs/>
          <w:sz w:val="21"/>
          <w:szCs w:val="21"/>
          <w:lang w:val="en-US"/>
        </w:rPr>
        <w:t>Guide, Hearing and Assistance Dog Act 2009</w:t>
      </w:r>
      <w:r w:rsidRPr="004A37D1">
        <w:rPr>
          <w:rFonts w:ascii="Arial" w:eastAsia="Calibri" w:hAnsi="Arial" w:cs="Arial"/>
          <w:sz w:val="21"/>
          <w:szCs w:val="21"/>
          <w:lang w:val="en-US"/>
        </w:rPr>
        <w:t xml:space="preserve"> to address minor potential incompatibilities with the HR Act, will be progressed through portfolio legislative vehicles proceeding to Parliament</w:t>
      </w:r>
    </w:p>
    <w:p w14:paraId="64F04691" w14:textId="77777777" w:rsidR="004A37D1" w:rsidRPr="004A37D1" w:rsidRDefault="004A37D1" w:rsidP="007054F2">
      <w:pPr>
        <w:numPr>
          <w:ilvl w:val="0"/>
          <w:numId w:val="10"/>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lastRenderedPageBreak/>
        <w:t>all human resources policies were assessed as compatible with human rights.</w:t>
      </w:r>
    </w:p>
    <w:p w14:paraId="70D019AA" w14:textId="77777777" w:rsidR="004A37D1" w:rsidRPr="004A37D1" w:rsidRDefault="004A37D1" w:rsidP="004A37D1">
      <w:pPr>
        <w:pStyle w:val="Heading2"/>
        <w:keepLines w:val="0"/>
        <w:spacing w:before="0" w:after="120" w:line="240" w:lineRule="auto"/>
        <w:rPr>
          <w:rFonts w:ascii="Arial" w:hAnsi="Arial"/>
          <w:color w:val="auto"/>
        </w:rPr>
      </w:pPr>
      <w:bookmarkStart w:id="15" w:name="_Toc113544400"/>
      <w:bookmarkStart w:id="16" w:name="_Toc43444822"/>
      <w:r w:rsidRPr="004A37D1">
        <w:rPr>
          <w:rFonts w:ascii="Arial" w:hAnsi="Arial"/>
          <w:color w:val="auto"/>
        </w:rPr>
        <w:t>Governance—risk management and accountability</w:t>
      </w:r>
      <w:bookmarkEnd w:id="15"/>
      <w:r w:rsidRPr="004A37D1">
        <w:rPr>
          <w:rFonts w:ascii="Arial" w:hAnsi="Arial"/>
          <w:color w:val="auto"/>
        </w:rPr>
        <w:t xml:space="preserve"> </w:t>
      </w:r>
    </w:p>
    <w:p w14:paraId="7A758BA9" w14:textId="77777777" w:rsidR="004A37D1" w:rsidRPr="004A37D1" w:rsidRDefault="004A37D1" w:rsidP="004A37D1">
      <w:pPr>
        <w:keepNext/>
        <w:spacing w:after="120" w:line="240" w:lineRule="auto"/>
        <w:outlineLvl w:val="1"/>
        <w:rPr>
          <w:rFonts w:ascii="Arial" w:eastAsia="Calibri" w:hAnsi="Arial" w:cs="Arial"/>
          <w:bCs/>
          <w:iCs/>
          <w:sz w:val="32"/>
          <w:szCs w:val="32"/>
        </w:rPr>
      </w:pPr>
      <w:bookmarkStart w:id="17" w:name="_Toc113544401"/>
      <w:bookmarkStart w:id="18" w:name="_Hlk109125695"/>
      <w:r w:rsidRPr="004A37D1">
        <w:rPr>
          <w:rFonts w:ascii="Arial" w:eastAsia="Calibri" w:hAnsi="Arial" w:cs="Arial"/>
          <w:bCs/>
          <w:iCs/>
          <w:sz w:val="32"/>
          <w:szCs w:val="32"/>
        </w:rPr>
        <w:t>Risk management</w:t>
      </w:r>
      <w:bookmarkEnd w:id="17"/>
      <w:r w:rsidRPr="004A37D1">
        <w:rPr>
          <w:rFonts w:ascii="Arial" w:eastAsia="Calibri" w:hAnsi="Arial" w:cs="Arial"/>
          <w:bCs/>
          <w:iCs/>
          <w:sz w:val="32"/>
          <w:szCs w:val="32"/>
        </w:rPr>
        <w:t xml:space="preserve"> </w:t>
      </w:r>
    </w:p>
    <w:p w14:paraId="0A7BCACF" w14:textId="77777777" w:rsidR="004A37D1" w:rsidRPr="004A37D1" w:rsidRDefault="004A37D1" w:rsidP="004A37D1">
      <w:pPr>
        <w:spacing w:after="200" w:line="276" w:lineRule="auto"/>
        <w:rPr>
          <w:rFonts w:ascii="Arial" w:eastAsia="Calibri" w:hAnsi="Arial" w:cs="Arial"/>
          <w:sz w:val="21"/>
          <w:szCs w:val="21"/>
          <w:lang w:val="en-US"/>
        </w:rPr>
      </w:pPr>
      <w:r w:rsidRPr="004A37D1">
        <w:rPr>
          <w:rFonts w:ascii="Arial" w:eastAsia="Calibri" w:hAnsi="Arial" w:cs="Arial"/>
          <w:sz w:val="21"/>
          <w:szCs w:val="21"/>
          <w:lang w:val="en-US"/>
        </w:rPr>
        <w:t xml:space="preserve">Risk management is a key element of good corporate governance. In accordance with the </w:t>
      </w:r>
      <w:r w:rsidRPr="004A37D1">
        <w:rPr>
          <w:rFonts w:ascii="Arial" w:eastAsia="Calibri" w:hAnsi="Arial" w:cs="Arial"/>
          <w:i/>
          <w:iCs/>
          <w:sz w:val="21"/>
          <w:szCs w:val="21"/>
          <w:lang w:val="en-US"/>
        </w:rPr>
        <w:t>Financial Accountability Act 2009</w:t>
      </w:r>
      <w:r w:rsidRPr="004A37D1">
        <w:rPr>
          <w:rFonts w:ascii="Arial" w:eastAsia="Calibri" w:hAnsi="Arial" w:cs="Arial"/>
          <w:sz w:val="21"/>
          <w:szCs w:val="21"/>
          <w:lang w:val="en-US"/>
        </w:rPr>
        <w:t>, overall accountability for risk management resides with the Director-General, is exercised through the Board of Management and is the responsibility of all staff throughout the department. The department’s Audit and Risk Committee assists the Director-General in the oversight of the effectiveness of the risk management framework.</w:t>
      </w:r>
    </w:p>
    <w:p w14:paraId="4A2016C7" w14:textId="77777777" w:rsidR="004A37D1" w:rsidRPr="004A37D1" w:rsidRDefault="004A37D1" w:rsidP="004A37D1">
      <w:pPr>
        <w:spacing w:after="200" w:line="276" w:lineRule="auto"/>
        <w:rPr>
          <w:rFonts w:ascii="Arial" w:eastAsia="Calibri" w:hAnsi="Arial" w:cs="Arial"/>
          <w:sz w:val="21"/>
          <w:szCs w:val="21"/>
          <w:lang w:val="en-US"/>
        </w:rPr>
      </w:pPr>
      <w:r w:rsidRPr="004A37D1">
        <w:rPr>
          <w:rFonts w:ascii="Arial" w:eastAsia="Calibri" w:hAnsi="Arial" w:cs="Arial"/>
          <w:sz w:val="21"/>
          <w:szCs w:val="21"/>
          <w:lang w:val="en-US"/>
        </w:rPr>
        <w:t xml:space="preserve">The department’s risk management framework provides the management approach, principles and processes for managing risk within the department in accordance with the </w:t>
      </w:r>
      <w:r w:rsidRPr="004A37D1">
        <w:rPr>
          <w:rFonts w:ascii="Arial" w:eastAsia="Calibri" w:hAnsi="Arial" w:cs="Arial"/>
          <w:i/>
          <w:sz w:val="21"/>
          <w:szCs w:val="21"/>
          <w:lang w:val="en-US"/>
        </w:rPr>
        <w:t xml:space="preserve">Financial Accountability Act 2009, Financial and Performance Management Standard 2019 </w:t>
      </w:r>
      <w:r w:rsidRPr="004A37D1">
        <w:rPr>
          <w:rFonts w:ascii="Arial" w:eastAsia="Calibri" w:hAnsi="Arial" w:cs="Arial"/>
          <w:sz w:val="21"/>
          <w:szCs w:val="21"/>
          <w:lang w:val="en-US"/>
        </w:rPr>
        <w:t xml:space="preserve">and Queensland Treasury’s whole-of-government risk management guidelines. The framework aligns with the </w:t>
      </w:r>
      <w:r w:rsidRPr="004A37D1">
        <w:rPr>
          <w:rFonts w:ascii="Arial" w:eastAsia="Calibri" w:hAnsi="Arial" w:cs="Arial"/>
          <w:i/>
          <w:iCs/>
          <w:sz w:val="21"/>
          <w:szCs w:val="21"/>
          <w:lang w:val="en-US"/>
        </w:rPr>
        <w:t xml:space="preserve">AS/NZS ISO 31000:2018 Risk management — Guidelines </w:t>
      </w:r>
      <w:r w:rsidRPr="004A37D1">
        <w:rPr>
          <w:rFonts w:ascii="Arial" w:eastAsia="Calibri" w:hAnsi="Arial" w:cs="Arial"/>
          <w:sz w:val="21"/>
          <w:szCs w:val="21"/>
          <w:lang w:val="en-US"/>
        </w:rPr>
        <w:t xml:space="preserve">and other best practice risk and resilience methodologies. </w:t>
      </w:r>
    </w:p>
    <w:p w14:paraId="4C16B73E" w14:textId="77777777" w:rsidR="004A37D1" w:rsidRPr="004A37D1" w:rsidRDefault="004A37D1" w:rsidP="004A37D1">
      <w:pPr>
        <w:spacing w:after="200" w:line="276" w:lineRule="auto"/>
        <w:rPr>
          <w:rFonts w:ascii="Arial" w:eastAsia="Calibri" w:hAnsi="Arial" w:cs="Arial"/>
          <w:sz w:val="21"/>
          <w:szCs w:val="21"/>
          <w:lang w:val="en-US"/>
        </w:rPr>
      </w:pPr>
      <w:r w:rsidRPr="004A37D1">
        <w:rPr>
          <w:rFonts w:ascii="Arial" w:eastAsia="Calibri" w:hAnsi="Arial" w:cs="Arial"/>
          <w:sz w:val="21"/>
          <w:szCs w:val="21"/>
          <w:lang w:val="en-US"/>
        </w:rPr>
        <w:t>This approach ensures identified risk events that may impact on the delivery of the department’s strategic objectives, are effectively managed in a structured and coordinated manner, and are reflected in the department's culture and practices.</w:t>
      </w:r>
    </w:p>
    <w:p w14:paraId="1E80B565" w14:textId="77777777" w:rsidR="004A37D1" w:rsidRPr="004A37D1" w:rsidRDefault="004A37D1" w:rsidP="004A37D1">
      <w:pPr>
        <w:spacing w:after="120" w:line="240" w:lineRule="auto"/>
        <w:rPr>
          <w:rFonts w:ascii="Arial" w:eastAsia="Calibri" w:hAnsi="Arial" w:cs="Arial"/>
          <w:sz w:val="21"/>
          <w:szCs w:val="21"/>
          <w:lang w:val="en-US"/>
        </w:rPr>
      </w:pPr>
      <w:r w:rsidRPr="004A37D1">
        <w:rPr>
          <w:rFonts w:ascii="Arial" w:eastAsia="Calibri" w:hAnsi="Arial" w:cs="Arial"/>
          <w:sz w:val="21"/>
          <w:szCs w:val="21"/>
          <w:lang w:val="en-US"/>
        </w:rPr>
        <w:t>During the reporting period, the department:</w:t>
      </w:r>
    </w:p>
    <w:p w14:paraId="4ABB9E6F" w14:textId="77777777" w:rsidR="004A37D1" w:rsidRPr="004A37D1" w:rsidRDefault="004A37D1" w:rsidP="007054F2">
      <w:pPr>
        <w:numPr>
          <w:ilvl w:val="0"/>
          <w:numId w:val="10"/>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conducted a Board of Management Strategic Risk Assessment workshop to identify the emerging risks that may impact on the delivery of our department’s strategic objectives and the opportunities arising from these risks. The workshop included a presentation on global and national insights to stimulate blue-sky thinking about the potential strategic risks that the department may be exposed to in the current environment. The workshop resulted in a recalibration of the department’s strategic risks, framed as opportunities and reflected in the 2022-2025 strategic plan</w:t>
      </w:r>
    </w:p>
    <w:p w14:paraId="1AB9F1C0" w14:textId="77777777" w:rsidR="004A37D1" w:rsidRPr="004A37D1" w:rsidRDefault="004A37D1" w:rsidP="007054F2">
      <w:pPr>
        <w:numPr>
          <w:ilvl w:val="0"/>
          <w:numId w:val="10"/>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continued to implement the department’s risk management framework, including the risk appetite statement and risk management methodology</w:t>
      </w:r>
    </w:p>
    <w:p w14:paraId="6A7C1C07" w14:textId="77777777" w:rsidR="004A37D1" w:rsidRPr="004A37D1" w:rsidRDefault="004A37D1" w:rsidP="007054F2">
      <w:pPr>
        <w:numPr>
          <w:ilvl w:val="0"/>
          <w:numId w:val="10"/>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continued to develop strategic and operational risk registers to support the systematic identification, assessment, review and monitoring of enterprise-wide risks</w:t>
      </w:r>
    </w:p>
    <w:p w14:paraId="364C2B1C" w14:textId="77777777" w:rsidR="004A37D1" w:rsidRPr="004A37D1" w:rsidRDefault="004A37D1" w:rsidP="007054F2">
      <w:pPr>
        <w:numPr>
          <w:ilvl w:val="0"/>
          <w:numId w:val="10"/>
        </w:numPr>
        <w:spacing w:after="200" w:line="276" w:lineRule="auto"/>
        <w:contextualSpacing/>
        <w:rPr>
          <w:rFonts w:ascii="Arial" w:eastAsia="Calibri" w:hAnsi="Arial" w:cs="Arial"/>
          <w:sz w:val="21"/>
          <w:szCs w:val="21"/>
          <w:lang w:eastAsia="en-AU"/>
        </w:rPr>
      </w:pPr>
      <w:r w:rsidRPr="004A37D1">
        <w:rPr>
          <w:rFonts w:ascii="Arial" w:eastAsia="Calibri" w:hAnsi="Arial" w:cs="Arial"/>
          <w:sz w:val="21"/>
          <w:szCs w:val="21"/>
          <w:lang w:val="en-US"/>
        </w:rPr>
        <w:t>continued to prepare quarterly Enterprise Risk reports, providing a holistic view of the department’s ‘top’ risks to support Board</w:t>
      </w:r>
      <w:r w:rsidRPr="004A37D1">
        <w:rPr>
          <w:rFonts w:ascii="Arial" w:eastAsia="Calibri" w:hAnsi="Arial" w:cs="Arial"/>
          <w:sz w:val="21"/>
          <w:szCs w:val="21"/>
          <w:lang w:eastAsia="en-AU"/>
        </w:rPr>
        <w:t xml:space="preserve"> of Management decision-making.</w:t>
      </w:r>
    </w:p>
    <w:p w14:paraId="231EA099" w14:textId="77777777" w:rsidR="004A37D1" w:rsidRPr="004A37D1" w:rsidRDefault="004A37D1" w:rsidP="004A37D1">
      <w:pPr>
        <w:spacing w:after="200" w:line="276" w:lineRule="auto"/>
        <w:rPr>
          <w:rFonts w:ascii="Arial" w:eastAsia="Calibri" w:hAnsi="Arial" w:cs="Arial"/>
          <w:sz w:val="21"/>
          <w:szCs w:val="21"/>
          <w:lang w:val="en-US"/>
        </w:rPr>
      </w:pPr>
      <w:r w:rsidRPr="004A37D1">
        <w:rPr>
          <w:rFonts w:ascii="Arial" w:eastAsia="Calibri" w:hAnsi="Arial" w:cs="Arial"/>
          <w:sz w:val="21"/>
          <w:szCs w:val="21"/>
          <w:lang w:val="en-US"/>
        </w:rPr>
        <w:t>The focus during the year has been to further embed enterprise risk management within the department to support the effective management and mitigation of the department’s risks; improve the reporting to senior executives; and to build a strong risk culture within the department.</w:t>
      </w:r>
    </w:p>
    <w:p w14:paraId="6903D5BC" w14:textId="77777777" w:rsidR="004A37D1" w:rsidRPr="004A37D1" w:rsidRDefault="004A37D1" w:rsidP="004A37D1">
      <w:pPr>
        <w:pStyle w:val="Heading2"/>
        <w:keepLines w:val="0"/>
        <w:spacing w:before="0" w:after="120" w:line="240" w:lineRule="auto"/>
        <w:rPr>
          <w:rFonts w:ascii="Arial" w:hAnsi="Arial"/>
          <w:color w:val="auto"/>
        </w:rPr>
      </w:pPr>
      <w:bookmarkStart w:id="19" w:name="_Toc78287400"/>
      <w:bookmarkStart w:id="20" w:name="_Toc78355807"/>
      <w:bookmarkStart w:id="21" w:name="_Toc113544402"/>
      <w:r w:rsidRPr="004A37D1">
        <w:rPr>
          <w:rFonts w:ascii="Arial" w:hAnsi="Arial"/>
          <w:color w:val="auto"/>
        </w:rPr>
        <w:t>Fraud and corruption control</w:t>
      </w:r>
      <w:bookmarkEnd w:id="19"/>
      <w:bookmarkEnd w:id="20"/>
      <w:bookmarkEnd w:id="21"/>
      <w:r w:rsidRPr="004A37D1">
        <w:rPr>
          <w:rFonts w:ascii="Arial" w:hAnsi="Arial"/>
          <w:color w:val="auto"/>
        </w:rPr>
        <w:t xml:space="preserve"> </w:t>
      </w:r>
    </w:p>
    <w:p w14:paraId="532B8A6D" w14:textId="77777777" w:rsidR="004A37D1" w:rsidRPr="004A37D1" w:rsidRDefault="004A37D1" w:rsidP="004A37D1">
      <w:pPr>
        <w:spacing w:after="200" w:line="276" w:lineRule="auto"/>
        <w:rPr>
          <w:rFonts w:ascii="Arial" w:eastAsia="Calibri" w:hAnsi="Arial" w:cs="Arial"/>
          <w:sz w:val="21"/>
          <w:szCs w:val="21"/>
          <w:lang w:val="en-US"/>
        </w:rPr>
      </w:pPr>
      <w:r w:rsidRPr="004A37D1">
        <w:rPr>
          <w:rFonts w:ascii="Arial" w:eastAsia="Calibri" w:hAnsi="Arial" w:cs="Arial"/>
          <w:sz w:val="21"/>
          <w:szCs w:val="21"/>
          <w:lang w:val="en-US"/>
        </w:rPr>
        <w:t>The</w:t>
      </w:r>
      <w:r w:rsidRPr="004A37D1">
        <w:rPr>
          <w:rFonts w:ascii="Arial" w:eastAsia="Calibri" w:hAnsi="Arial" w:cs="Arial"/>
          <w:spacing w:val="-14"/>
          <w:sz w:val="21"/>
          <w:szCs w:val="21"/>
          <w:lang w:val="en-US"/>
        </w:rPr>
        <w:t xml:space="preserve"> </w:t>
      </w:r>
      <w:r w:rsidRPr="004A37D1">
        <w:rPr>
          <w:rFonts w:ascii="Arial" w:eastAsia="Calibri" w:hAnsi="Arial" w:cs="Arial"/>
          <w:spacing w:val="-1"/>
          <w:sz w:val="21"/>
          <w:szCs w:val="21"/>
          <w:lang w:val="en-US"/>
        </w:rPr>
        <w:t>dep</w:t>
      </w:r>
      <w:r w:rsidRPr="004A37D1">
        <w:rPr>
          <w:rFonts w:ascii="Arial" w:eastAsia="Calibri" w:hAnsi="Arial" w:cs="Arial"/>
          <w:sz w:val="21"/>
          <w:szCs w:val="21"/>
          <w:lang w:val="en-US"/>
        </w:rPr>
        <w:t>artment</w:t>
      </w:r>
      <w:r w:rsidRPr="004A37D1">
        <w:rPr>
          <w:rFonts w:ascii="Arial" w:eastAsia="Calibri" w:hAnsi="Arial" w:cs="Arial"/>
          <w:spacing w:val="-15"/>
          <w:sz w:val="21"/>
          <w:szCs w:val="21"/>
          <w:lang w:val="en-US"/>
        </w:rPr>
        <w:t xml:space="preserve"> </w:t>
      </w:r>
      <w:r w:rsidRPr="004A37D1">
        <w:rPr>
          <w:rFonts w:ascii="Arial" w:eastAsia="Calibri" w:hAnsi="Arial" w:cs="Arial"/>
          <w:spacing w:val="-1"/>
          <w:sz w:val="21"/>
          <w:szCs w:val="21"/>
          <w:lang w:val="en-US"/>
        </w:rPr>
        <w:t>is</w:t>
      </w:r>
      <w:r w:rsidRPr="004A37D1">
        <w:rPr>
          <w:rFonts w:ascii="Arial" w:eastAsia="Calibri" w:hAnsi="Arial" w:cs="Arial"/>
          <w:spacing w:val="-15"/>
          <w:sz w:val="21"/>
          <w:szCs w:val="21"/>
          <w:lang w:val="en-US"/>
        </w:rPr>
        <w:t xml:space="preserve"> </w:t>
      </w:r>
      <w:r w:rsidRPr="004A37D1">
        <w:rPr>
          <w:rFonts w:ascii="Arial" w:eastAsia="Calibri" w:hAnsi="Arial" w:cs="Arial"/>
          <w:spacing w:val="-1"/>
          <w:sz w:val="21"/>
          <w:szCs w:val="21"/>
          <w:lang w:val="en-US"/>
        </w:rPr>
        <w:t>c</w:t>
      </w:r>
      <w:r w:rsidRPr="004A37D1">
        <w:rPr>
          <w:rFonts w:ascii="Arial" w:eastAsia="Calibri" w:hAnsi="Arial" w:cs="Arial"/>
          <w:sz w:val="21"/>
          <w:szCs w:val="21"/>
          <w:lang w:val="en-US"/>
        </w:rPr>
        <w:t>ommitted</w:t>
      </w:r>
      <w:r w:rsidRPr="004A37D1">
        <w:rPr>
          <w:rFonts w:ascii="Arial" w:eastAsia="Calibri" w:hAnsi="Arial" w:cs="Arial"/>
          <w:spacing w:val="-14"/>
          <w:sz w:val="21"/>
          <w:szCs w:val="21"/>
          <w:lang w:val="en-US"/>
        </w:rPr>
        <w:t xml:space="preserve"> </w:t>
      </w:r>
      <w:r w:rsidRPr="004A37D1">
        <w:rPr>
          <w:rFonts w:ascii="Arial" w:eastAsia="Calibri" w:hAnsi="Arial" w:cs="Arial"/>
          <w:sz w:val="21"/>
          <w:szCs w:val="21"/>
          <w:lang w:val="en-US"/>
        </w:rPr>
        <w:t>t</w:t>
      </w:r>
      <w:r w:rsidRPr="004A37D1">
        <w:rPr>
          <w:rFonts w:ascii="Arial" w:eastAsia="Calibri" w:hAnsi="Arial" w:cs="Arial"/>
          <w:spacing w:val="-1"/>
          <w:sz w:val="21"/>
          <w:szCs w:val="21"/>
          <w:lang w:val="en-US"/>
        </w:rPr>
        <w:t>o</w:t>
      </w:r>
      <w:r w:rsidRPr="004A37D1">
        <w:rPr>
          <w:rFonts w:ascii="Arial" w:eastAsia="Calibri" w:hAnsi="Arial" w:cs="Arial"/>
          <w:spacing w:val="-14"/>
          <w:sz w:val="21"/>
          <w:szCs w:val="21"/>
          <w:lang w:val="en-US"/>
        </w:rPr>
        <w:t xml:space="preserve"> </w:t>
      </w:r>
      <w:r w:rsidRPr="004A37D1">
        <w:rPr>
          <w:rFonts w:ascii="Arial" w:eastAsia="Calibri" w:hAnsi="Arial" w:cs="Arial"/>
          <w:sz w:val="21"/>
          <w:szCs w:val="21"/>
          <w:lang w:val="en-US"/>
        </w:rPr>
        <w:t>an</w:t>
      </w:r>
      <w:r w:rsidRPr="004A37D1">
        <w:rPr>
          <w:rFonts w:ascii="Arial" w:eastAsia="Calibri" w:hAnsi="Arial" w:cs="Arial"/>
          <w:spacing w:val="-13"/>
          <w:sz w:val="21"/>
          <w:szCs w:val="21"/>
          <w:lang w:val="en-US"/>
        </w:rPr>
        <w:t xml:space="preserve"> </w:t>
      </w:r>
      <w:proofErr w:type="spellStart"/>
      <w:r w:rsidRPr="004A37D1">
        <w:rPr>
          <w:rFonts w:ascii="Arial" w:eastAsia="Calibri" w:hAnsi="Arial" w:cs="Arial"/>
          <w:sz w:val="21"/>
          <w:szCs w:val="21"/>
          <w:lang w:val="en-US"/>
        </w:rPr>
        <w:t>org</w:t>
      </w:r>
      <w:r w:rsidRPr="004A37D1">
        <w:rPr>
          <w:rFonts w:ascii="Arial" w:eastAsia="Calibri" w:hAnsi="Arial" w:cs="Arial"/>
          <w:spacing w:val="-1"/>
          <w:sz w:val="21"/>
          <w:szCs w:val="21"/>
          <w:lang w:val="en-US"/>
        </w:rPr>
        <w:t>anis</w:t>
      </w:r>
      <w:r w:rsidRPr="004A37D1">
        <w:rPr>
          <w:rFonts w:ascii="Arial" w:eastAsia="Calibri" w:hAnsi="Arial" w:cs="Arial"/>
          <w:sz w:val="21"/>
          <w:szCs w:val="21"/>
          <w:lang w:val="en-US"/>
        </w:rPr>
        <w:t>ation</w:t>
      </w:r>
      <w:r w:rsidRPr="004A37D1">
        <w:rPr>
          <w:rFonts w:ascii="Arial" w:eastAsia="Calibri" w:hAnsi="Arial" w:cs="Arial"/>
          <w:spacing w:val="-1"/>
          <w:sz w:val="21"/>
          <w:szCs w:val="21"/>
          <w:lang w:val="en-US"/>
        </w:rPr>
        <w:t>al</w:t>
      </w:r>
      <w:proofErr w:type="spellEnd"/>
      <w:r w:rsidRPr="004A37D1">
        <w:rPr>
          <w:rFonts w:ascii="Arial" w:eastAsia="Calibri" w:hAnsi="Arial" w:cs="Arial"/>
          <w:spacing w:val="-15"/>
          <w:sz w:val="21"/>
          <w:szCs w:val="21"/>
          <w:lang w:val="en-US"/>
        </w:rPr>
        <w:t xml:space="preserve"> </w:t>
      </w:r>
      <w:r w:rsidRPr="004A37D1">
        <w:rPr>
          <w:rFonts w:ascii="Arial" w:eastAsia="Calibri" w:hAnsi="Arial" w:cs="Arial"/>
          <w:spacing w:val="-1"/>
          <w:sz w:val="21"/>
          <w:szCs w:val="21"/>
          <w:lang w:val="en-US"/>
        </w:rPr>
        <w:t>cu</w:t>
      </w:r>
      <w:r w:rsidRPr="004A37D1">
        <w:rPr>
          <w:rFonts w:ascii="Arial" w:eastAsia="Calibri" w:hAnsi="Arial" w:cs="Arial"/>
          <w:sz w:val="21"/>
          <w:szCs w:val="21"/>
          <w:lang w:val="en-US"/>
        </w:rPr>
        <w:t>lt</w:t>
      </w:r>
      <w:r w:rsidRPr="004A37D1">
        <w:rPr>
          <w:rFonts w:ascii="Arial" w:eastAsia="Calibri" w:hAnsi="Arial" w:cs="Arial"/>
          <w:spacing w:val="-1"/>
          <w:sz w:val="21"/>
          <w:szCs w:val="21"/>
          <w:lang w:val="en-US"/>
        </w:rPr>
        <w:t>u</w:t>
      </w:r>
      <w:r w:rsidRPr="004A37D1">
        <w:rPr>
          <w:rFonts w:ascii="Arial" w:eastAsia="Calibri" w:hAnsi="Arial" w:cs="Arial"/>
          <w:sz w:val="21"/>
          <w:szCs w:val="21"/>
          <w:lang w:val="en-US"/>
        </w:rPr>
        <w:t>re where</w:t>
      </w:r>
      <w:r w:rsidRPr="004A37D1">
        <w:rPr>
          <w:rFonts w:ascii="Arial" w:eastAsia="Calibri" w:hAnsi="Arial" w:cs="Arial"/>
          <w:spacing w:val="-15"/>
          <w:sz w:val="21"/>
          <w:szCs w:val="21"/>
          <w:lang w:val="en-US"/>
        </w:rPr>
        <w:t xml:space="preserve"> </w:t>
      </w:r>
      <w:r w:rsidRPr="004A37D1">
        <w:rPr>
          <w:rFonts w:ascii="Arial" w:eastAsia="Calibri" w:hAnsi="Arial" w:cs="Arial"/>
          <w:spacing w:val="-1"/>
          <w:sz w:val="21"/>
          <w:szCs w:val="21"/>
          <w:lang w:val="en-US"/>
        </w:rPr>
        <w:t>an</w:t>
      </w:r>
      <w:r w:rsidRPr="004A37D1">
        <w:rPr>
          <w:rFonts w:ascii="Arial" w:eastAsia="Calibri" w:hAnsi="Arial" w:cs="Arial"/>
          <w:sz w:val="21"/>
          <w:szCs w:val="21"/>
          <w:lang w:val="en-US"/>
        </w:rPr>
        <w:t>y</w:t>
      </w:r>
      <w:r w:rsidRPr="004A37D1">
        <w:rPr>
          <w:rFonts w:ascii="Arial" w:eastAsia="Calibri" w:hAnsi="Arial" w:cs="Arial"/>
          <w:spacing w:val="-17"/>
          <w:sz w:val="21"/>
          <w:szCs w:val="21"/>
          <w:lang w:val="en-US"/>
        </w:rPr>
        <w:t xml:space="preserve"> </w:t>
      </w:r>
      <w:r w:rsidRPr="004A37D1">
        <w:rPr>
          <w:rFonts w:ascii="Arial" w:eastAsia="Calibri" w:hAnsi="Arial" w:cs="Arial"/>
          <w:sz w:val="21"/>
          <w:szCs w:val="21"/>
          <w:lang w:val="en-US"/>
        </w:rPr>
        <w:t>act</w:t>
      </w:r>
      <w:r w:rsidRPr="004A37D1">
        <w:rPr>
          <w:rFonts w:ascii="Arial" w:eastAsia="Calibri" w:hAnsi="Arial" w:cs="Arial"/>
          <w:spacing w:val="-16"/>
          <w:sz w:val="21"/>
          <w:szCs w:val="21"/>
          <w:lang w:val="en-US"/>
        </w:rPr>
        <w:t xml:space="preserve"> </w:t>
      </w:r>
      <w:r w:rsidRPr="004A37D1">
        <w:rPr>
          <w:rFonts w:ascii="Arial" w:eastAsia="Calibri" w:hAnsi="Arial" w:cs="Arial"/>
          <w:sz w:val="21"/>
          <w:szCs w:val="21"/>
          <w:lang w:val="en-US"/>
        </w:rPr>
        <w:t>of</w:t>
      </w:r>
      <w:r w:rsidRPr="004A37D1">
        <w:rPr>
          <w:rFonts w:ascii="Arial" w:eastAsia="Calibri" w:hAnsi="Arial" w:cs="Arial"/>
          <w:spacing w:val="-16"/>
          <w:sz w:val="21"/>
          <w:szCs w:val="21"/>
          <w:lang w:val="en-US"/>
        </w:rPr>
        <w:t xml:space="preserve"> </w:t>
      </w:r>
      <w:r w:rsidRPr="004A37D1">
        <w:rPr>
          <w:rFonts w:ascii="Arial" w:eastAsia="Calibri" w:hAnsi="Arial" w:cs="Arial"/>
          <w:sz w:val="21"/>
          <w:szCs w:val="21"/>
          <w:lang w:val="en-US"/>
        </w:rPr>
        <w:t>fr</w:t>
      </w:r>
      <w:r w:rsidRPr="004A37D1">
        <w:rPr>
          <w:rFonts w:ascii="Arial" w:eastAsia="Calibri" w:hAnsi="Arial" w:cs="Arial"/>
          <w:spacing w:val="-1"/>
          <w:sz w:val="21"/>
          <w:szCs w:val="21"/>
          <w:lang w:val="en-US"/>
        </w:rPr>
        <w:t>aud</w:t>
      </w:r>
      <w:r w:rsidRPr="004A37D1">
        <w:rPr>
          <w:rFonts w:ascii="Arial" w:eastAsia="Calibri" w:hAnsi="Arial" w:cs="Arial"/>
          <w:spacing w:val="-16"/>
          <w:sz w:val="21"/>
          <w:szCs w:val="21"/>
          <w:lang w:val="en-US"/>
        </w:rPr>
        <w:t xml:space="preserve"> </w:t>
      </w:r>
      <w:r w:rsidRPr="004A37D1">
        <w:rPr>
          <w:rFonts w:ascii="Arial" w:eastAsia="Calibri" w:hAnsi="Arial" w:cs="Arial"/>
          <w:sz w:val="21"/>
          <w:szCs w:val="21"/>
          <w:lang w:val="en-US"/>
        </w:rPr>
        <w:t>or</w:t>
      </w:r>
      <w:r w:rsidRPr="004A37D1">
        <w:rPr>
          <w:rFonts w:ascii="Arial" w:eastAsia="Calibri" w:hAnsi="Arial" w:cs="Arial"/>
          <w:spacing w:val="-15"/>
          <w:sz w:val="21"/>
          <w:szCs w:val="21"/>
          <w:lang w:val="en-US"/>
        </w:rPr>
        <w:t xml:space="preserve"> </w:t>
      </w:r>
      <w:r w:rsidRPr="004A37D1">
        <w:rPr>
          <w:rFonts w:ascii="Arial" w:eastAsia="Calibri" w:hAnsi="Arial" w:cs="Arial"/>
          <w:spacing w:val="-1"/>
          <w:sz w:val="21"/>
          <w:szCs w:val="21"/>
          <w:lang w:val="en-US"/>
        </w:rPr>
        <w:t>c</w:t>
      </w:r>
      <w:r w:rsidRPr="004A37D1">
        <w:rPr>
          <w:rFonts w:ascii="Arial" w:eastAsia="Calibri" w:hAnsi="Arial" w:cs="Arial"/>
          <w:sz w:val="21"/>
          <w:szCs w:val="21"/>
          <w:lang w:val="en-US"/>
        </w:rPr>
        <w:t>orruption</w:t>
      </w:r>
      <w:r w:rsidRPr="004A37D1">
        <w:rPr>
          <w:rFonts w:ascii="Arial" w:eastAsia="Calibri" w:hAnsi="Arial" w:cs="Arial"/>
          <w:spacing w:val="-15"/>
          <w:sz w:val="21"/>
          <w:szCs w:val="21"/>
          <w:lang w:val="en-US"/>
        </w:rPr>
        <w:t xml:space="preserve"> </w:t>
      </w:r>
      <w:r w:rsidRPr="004A37D1">
        <w:rPr>
          <w:rFonts w:ascii="Arial" w:eastAsia="Calibri" w:hAnsi="Arial" w:cs="Arial"/>
          <w:spacing w:val="-1"/>
          <w:sz w:val="21"/>
          <w:szCs w:val="21"/>
          <w:lang w:val="en-US"/>
        </w:rPr>
        <w:t>is</w:t>
      </w:r>
      <w:r w:rsidRPr="004A37D1">
        <w:rPr>
          <w:rFonts w:ascii="Arial" w:eastAsia="Calibri" w:hAnsi="Arial" w:cs="Arial"/>
          <w:spacing w:val="-16"/>
          <w:sz w:val="21"/>
          <w:szCs w:val="21"/>
          <w:lang w:val="en-US"/>
        </w:rPr>
        <w:t xml:space="preserve"> </w:t>
      </w:r>
      <w:r w:rsidRPr="004A37D1">
        <w:rPr>
          <w:rFonts w:ascii="Arial" w:eastAsia="Calibri" w:hAnsi="Arial" w:cs="Arial"/>
          <w:sz w:val="21"/>
          <w:szCs w:val="21"/>
          <w:lang w:val="en-US"/>
        </w:rPr>
        <w:t>not</w:t>
      </w:r>
      <w:r w:rsidRPr="004A37D1">
        <w:rPr>
          <w:rFonts w:ascii="Arial" w:eastAsia="Calibri" w:hAnsi="Arial" w:cs="Arial"/>
          <w:spacing w:val="-16"/>
          <w:sz w:val="21"/>
          <w:szCs w:val="21"/>
          <w:lang w:val="en-US"/>
        </w:rPr>
        <w:t xml:space="preserve"> </w:t>
      </w:r>
      <w:r w:rsidRPr="004A37D1">
        <w:rPr>
          <w:rFonts w:ascii="Arial" w:eastAsia="Calibri" w:hAnsi="Arial" w:cs="Arial"/>
          <w:sz w:val="21"/>
          <w:szCs w:val="21"/>
          <w:lang w:val="en-US"/>
        </w:rPr>
        <w:t>t</w:t>
      </w:r>
      <w:r w:rsidRPr="004A37D1">
        <w:rPr>
          <w:rFonts w:ascii="Arial" w:eastAsia="Calibri" w:hAnsi="Arial" w:cs="Arial"/>
          <w:spacing w:val="-1"/>
          <w:sz w:val="21"/>
          <w:szCs w:val="21"/>
          <w:lang w:val="en-US"/>
        </w:rPr>
        <w:t>ol</w:t>
      </w:r>
      <w:r w:rsidRPr="004A37D1">
        <w:rPr>
          <w:rFonts w:ascii="Arial" w:eastAsia="Calibri" w:hAnsi="Arial" w:cs="Arial"/>
          <w:sz w:val="21"/>
          <w:szCs w:val="21"/>
          <w:lang w:val="en-US"/>
        </w:rPr>
        <w:t>er</w:t>
      </w:r>
      <w:r w:rsidRPr="004A37D1">
        <w:rPr>
          <w:rFonts w:ascii="Arial" w:eastAsia="Calibri" w:hAnsi="Arial" w:cs="Arial"/>
          <w:spacing w:val="-1"/>
          <w:sz w:val="21"/>
          <w:szCs w:val="21"/>
          <w:lang w:val="en-US"/>
        </w:rPr>
        <w:t>ated</w:t>
      </w:r>
      <w:r w:rsidRPr="004A37D1">
        <w:rPr>
          <w:rFonts w:ascii="Arial" w:eastAsia="Calibri" w:hAnsi="Arial" w:cs="Arial"/>
          <w:sz w:val="21"/>
          <w:szCs w:val="21"/>
          <w:lang w:val="en-US"/>
        </w:rPr>
        <w:t>.</w:t>
      </w:r>
      <w:r w:rsidRPr="004A37D1">
        <w:rPr>
          <w:rFonts w:ascii="Arial" w:eastAsia="Calibri" w:hAnsi="Arial" w:cs="Arial"/>
          <w:spacing w:val="-18"/>
          <w:sz w:val="21"/>
          <w:szCs w:val="21"/>
          <w:lang w:val="en-US"/>
        </w:rPr>
        <w:t xml:space="preserve"> </w:t>
      </w:r>
      <w:r w:rsidRPr="004A37D1">
        <w:rPr>
          <w:rFonts w:ascii="Arial" w:eastAsia="Calibri" w:hAnsi="Arial" w:cs="Arial"/>
          <w:sz w:val="21"/>
          <w:szCs w:val="21"/>
          <w:lang w:val="en-US"/>
        </w:rPr>
        <w:t>Thi</w:t>
      </w:r>
      <w:r w:rsidRPr="004A37D1">
        <w:rPr>
          <w:rFonts w:ascii="Arial" w:eastAsia="Calibri" w:hAnsi="Arial" w:cs="Arial"/>
          <w:spacing w:val="-1"/>
          <w:sz w:val="21"/>
          <w:szCs w:val="21"/>
          <w:lang w:val="en-US"/>
        </w:rPr>
        <w:t>s</w:t>
      </w:r>
      <w:r w:rsidRPr="004A37D1">
        <w:rPr>
          <w:rFonts w:ascii="Arial" w:eastAsia="Calibri" w:hAnsi="Arial" w:cs="Arial"/>
          <w:spacing w:val="35"/>
          <w:w w:val="110"/>
          <w:sz w:val="21"/>
          <w:szCs w:val="21"/>
          <w:lang w:val="en-US"/>
        </w:rPr>
        <w:t xml:space="preserve"> </w:t>
      </w:r>
      <w:r w:rsidRPr="004A37D1">
        <w:rPr>
          <w:rFonts w:ascii="Arial" w:eastAsia="Calibri" w:hAnsi="Arial" w:cs="Arial"/>
          <w:spacing w:val="-1"/>
          <w:sz w:val="21"/>
          <w:szCs w:val="21"/>
          <w:lang w:val="en-US"/>
        </w:rPr>
        <w:t>c</w:t>
      </w:r>
      <w:r w:rsidRPr="004A37D1">
        <w:rPr>
          <w:rFonts w:ascii="Arial" w:eastAsia="Calibri" w:hAnsi="Arial" w:cs="Arial"/>
          <w:sz w:val="21"/>
          <w:szCs w:val="21"/>
          <w:lang w:val="en-US"/>
        </w:rPr>
        <w:t>ommitment</w:t>
      </w:r>
      <w:r w:rsidRPr="004A37D1">
        <w:rPr>
          <w:rFonts w:ascii="Arial" w:eastAsia="Calibri" w:hAnsi="Arial" w:cs="Arial"/>
          <w:spacing w:val="-15"/>
          <w:sz w:val="21"/>
          <w:szCs w:val="21"/>
          <w:lang w:val="en-US"/>
        </w:rPr>
        <w:t xml:space="preserve"> </w:t>
      </w:r>
      <w:r w:rsidRPr="004A37D1">
        <w:rPr>
          <w:rFonts w:ascii="Arial" w:eastAsia="Calibri" w:hAnsi="Arial" w:cs="Arial"/>
          <w:sz w:val="21"/>
          <w:szCs w:val="21"/>
          <w:lang w:val="en-US"/>
        </w:rPr>
        <w:t>require</w:t>
      </w:r>
      <w:r w:rsidRPr="004A37D1">
        <w:rPr>
          <w:rFonts w:ascii="Arial" w:eastAsia="Calibri" w:hAnsi="Arial" w:cs="Arial"/>
          <w:spacing w:val="-1"/>
          <w:sz w:val="21"/>
          <w:szCs w:val="21"/>
          <w:lang w:val="en-US"/>
        </w:rPr>
        <w:t>s</w:t>
      </w:r>
      <w:r w:rsidRPr="004A37D1">
        <w:rPr>
          <w:rFonts w:ascii="Arial" w:eastAsia="Calibri" w:hAnsi="Arial" w:cs="Arial"/>
          <w:spacing w:val="-14"/>
          <w:sz w:val="21"/>
          <w:szCs w:val="21"/>
          <w:lang w:val="en-US"/>
        </w:rPr>
        <w:t xml:space="preserve"> </w:t>
      </w:r>
      <w:r w:rsidRPr="004A37D1">
        <w:rPr>
          <w:rFonts w:ascii="Arial" w:eastAsia="Calibri" w:hAnsi="Arial" w:cs="Arial"/>
          <w:spacing w:val="-1"/>
          <w:sz w:val="21"/>
          <w:szCs w:val="21"/>
          <w:lang w:val="en-US"/>
        </w:rPr>
        <w:t>s</w:t>
      </w:r>
      <w:r w:rsidRPr="004A37D1">
        <w:rPr>
          <w:rFonts w:ascii="Arial" w:eastAsia="Calibri" w:hAnsi="Arial" w:cs="Arial"/>
          <w:sz w:val="21"/>
          <w:szCs w:val="21"/>
          <w:lang w:val="en-US"/>
        </w:rPr>
        <w:t>taff to</w:t>
      </w:r>
      <w:r w:rsidRPr="004A37D1">
        <w:rPr>
          <w:rFonts w:ascii="Arial" w:eastAsia="Calibri" w:hAnsi="Arial" w:cs="Arial"/>
          <w:spacing w:val="-14"/>
          <w:sz w:val="21"/>
          <w:szCs w:val="21"/>
          <w:lang w:val="en-US"/>
        </w:rPr>
        <w:t xml:space="preserve"> </w:t>
      </w:r>
      <w:r w:rsidRPr="004A37D1">
        <w:rPr>
          <w:rFonts w:ascii="Arial" w:eastAsia="Calibri" w:hAnsi="Arial" w:cs="Arial"/>
          <w:sz w:val="21"/>
          <w:szCs w:val="21"/>
          <w:lang w:val="en-US"/>
        </w:rPr>
        <w:t>act</w:t>
      </w:r>
      <w:r w:rsidRPr="004A37D1">
        <w:rPr>
          <w:rFonts w:ascii="Arial" w:eastAsia="Calibri" w:hAnsi="Arial" w:cs="Arial"/>
          <w:spacing w:val="-14"/>
          <w:sz w:val="21"/>
          <w:szCs w:val="21"/>
          <w:lang w:val="en-US"/>
        </w:rPr>
        <w:t xml:space="preserve"> </w:t>
      </w:r>
      <w:r w:rsidRPr="004A37D1">
        <w:rPr>
          <w:rFonts w:ascii="Arial" w:eastAsia="Calibri" w:hAnsi="Arial" w:cs="Arial"/>
          <w:sz w:val="21"/>
          <w:szCs w:val="21"/>
          <w:lang w:val="en-US"/>
        </w:rPr>
        <w:t>ethic</w:t>
      </w:r>
      <w:r w:rsidRPr="004A37D1">
        <w:rPr>
          <w:rFonts w:ascii="Arial" w:eastAsia="Calibri" w:hAnsi="Arial" w:cs="Arial"/>
          <w:spacing w:val="-1"/>
          <w:sz w:val="21"/>
          <w:szCs w:val="21"/>
          <w:lang w:val="en-US"/>
        </w:rPr>
        <w:t>al</w:t>
      </w:r>
      <w:r w:rsidRPr="004A37D1">
        <w:rPr>
          <w:rFonts w:ascii="Arial" w:eastAsia="Calibri" w:hAnsi="Arial" w:cs="Arial"/>
          <w:sz w:val="21"/>
          <w:szCs w:val="21"/>
          <w:lang w:val="en-US"/>
        </w:rPr>
        <w:t>ly</w:t>
      </w:r>
      <w:r w:rsidRPr="004A37D1">
        <w:rPr>
          <w:rFonts w:ascii="Arial" w:eastAsia="Calibri" w:hAnsi="Arial" w:cs="Arial"/>
          <w:spacing w:val="-15"/>
          <w:sz w:val="21"/>
          <w:szCs w:val="21"/>
          <w:lang w:val="en-US"/>
        </w:rPr>
        <w:t xml:space="preserve"> </w:t>
      </w:r>
      <w:r w:rsidRPr="004A37D1">
        <w:rPr>
          <w:rFonts w:ascii="Arial" w:eastAsia="Calibri" w:hAnsi="Arial" w:cs="Arial"/>
          <w:sz w:val="21"/>
          <w:szCs w:val="21"/>
          <w:lang w:val="en-US"/>
        </w:rPr>
        <w:t>and</w:t>
      </w:r>
      <w:r w:rsidRPr="004A37D1">
        <w:rPr>
          <w:rFonts w:ascii="Arial" w:eastAsia="Calibri" w:hAnsi="Arial" w:cs="Arial"/>
          <w:spacing w:val="-14"/>
          <w:sz w:val="21"/>
          <w:szCs w:val="21"/>
          <w:lang w:val="en-US"/>
        </w:rPr>
        <w:t xml:space="preserve"> </w:t>
      </w:r>
      <w:r w:rsidRPr="004A37D1">
        <w:rPr>
          <w:rFonts w:ascii="Arial" w:eastAsia="Calibri" w:hAnsi="Arial" w:cs="Arial"/>
          <w:sz w:val="21"/>
          <w:szCs w:val="21"/>
          <w:lang w:val="en-US"/>
        </w:rPr>
        <w:t>profe</w:t>
      </w:r>
      <w:r w:rsidRPr="004A37D1">
        <w:rPr>
          <w:rFonts w:ascii="Arial" w:eastAsia="Calibri" w:hAnsi="Arial" w:cs="Arial"/>
          <w:spacing w:val="-1"/>
          <w:sz w:val="21"/>
          <w:szCs w:val="21"/>
          <w:lang w:val="en-US"/>
        </w:rPr>
        <w:t>ssional</w:t>
      </w:r>
      <w:r w:rsidRPr="004A37D1">
        <w:rPr>
          <w:rFonts w:ascii="Arial" w:eastAsia="Calibri" w:hAnsi="Arial" w:cs="Arial"/>
          <w:sz w:val="21"/>
          <w:szCs w:val="21"/>
          <w:lang w:val="en-US"/>
        </w:rPr>
        <w:t>ly in</w:t>
      </w:r>
      <w:r w:rsidRPr="004A37D1">
        <w:rPr>
          <w:rFonts w:ascii="Arial" w:eastAsia="Calibri" w:hAnsi="Arial" w:cs="Arial"/>
          <w:spacing w:val="-12"/>
          <w:sz w:val="21"/>
          <w:szCs w:val="21"/>
          <w:lang w:val="en-US"/>
        </w:rPr>
        <w:t xml:space="preserve"> </w:t>
      </w:r>
      <w:r w:rsidRPr="004A37D1">
        <w:rPr>
          <w:rFonts w:ascii="Arial" w:eastAsia="Calibri" w:hAnsi="Arial" w:cs="Arial"/>
          <w:sz w:val="21"/>
          <w:szCs w:val="21"/>
          <w:lang w:val="en-US"/>
        </w:rPr>
        <w:t>their</w:t>
      </w:r>
      <w:r w:rsidRPr="004A37D1">
        <w:rPr>
          <w:rFonts w:ascii="Arial" w:eastAsia="Calibri" w:hAnsi="Arial" w:cs="Arial"/>
          <w:spacing w:val="-12"/>
          <w:sz w:val="21"/>
          <w:szCs w:val="21"/>
          <w:lang w:val="en-US"/>
        </w:rPr>
        <w:t xml:space="preserve"> </w:t>
      </w:r>
      <w:r w:rsidRPr="004A37D1">
        <w:rPr>
          <w:rFonts w:ascii="Arial" w:eastAsia="Calibri" w:hAnsi="Arial" w:cs="Arial"/>
          <w:spacing w:val="-1"/>
          <w:sz w:val="21"/>
          <w:szCs w:val="21"/>
          <w:lang w:val="en-US"/>
        </w:rPr>
        <w:t>d</w:t>
      </w:r>
      <w:r w:rsidRPr="004A37D1">
        <w:rPr>
          <w:rFonts w:ascii="Arial" w:eastAsia="Calibri" w:hAnsi="Arial" w:cs="Arial"/>
          <w:sz w:val="21"/>
          <w:szCs w:val="21"/>
          <w:lang w:val="en-US"/>
        </w:rPr>
        <w:t>e</w:t>
      </w:r>
      <w:r w:rsidRPr="004A37D1">
        <w:rPr>
          <w:rFonts w:ascii="Arial" w:eastAsia="Calibri" w:hAnsi="Arial" w:cs="Arial"/>
          <w:spacing w:val="-1"/>
          <w:sz w:val="21"/>
          <w:szCs w:val="21"/>
          <w:lang w:val="en-US"/>
        </w:rPr>
        <w:t>alings</w:t>
      </w:r>
      <w:r w:rsidRPr="004A37D1">
        <w:rPr>
          <w:rFonts w:ascii="Arial" w:eastAsia="Calibri" w:hAnsi="Arial" w:cs="Arial"/>
          <w:spacing w:val="-13"/>
          <w:sz w:val="21"/>
          <w:szCs w:val="21"/>
          <w:lang w:val="en-US"/>
        </w:rPr>
        <w:t xml:space="preserve"> </w:t>
      </w:r>
      <w:r w:rsidRPr="004A37D1">
        <w:rPr>
          <w:rFonts w:ascii="Arial" w:eastAsia="Calibri" w:hAnsi="Arial" w:cs="Arial"/>
          <w:sz w:val="21"/>
          <w:szCs w:val="21"/>
          <w:lang w:val="en-US"/>
        </w:rPr>
        <w:t>with</w:t>
      </w:r>
      <w:r w:rsidRPr="004A37D1">
        <w:rPr>
          <w:rFonts w:ascii="Arial" w:eastAsia="Calibri" w:hAnsi="Arial" w:cs="Arial"/>
          <w:spacing w:val="-11"/>
          <w:sz w:val="21"/>
          <w:szCs w:val="21"/>
          <w:lang w:val="en-US"/>
        </w:rPr>
        <w:t xml:space="preserve"> </w:t>
      </w:r>
      <w:r w:rsidRPr="004A37D1">
        <w:rPr>
          <w:rFonts w:ascii="Arial" w:eastAsia="Calibri" w:hAnsi="Arial" w:cs="Arial"/>
          <w:sz w:val="21"/>
          <w:szCs w:val="21"/>
          <w:lang w:val="en-US"/>
        </w:rPr>
        <w:t>other</w:t>
      </w:r>
      <w:r w:rsidRPr="004A37D1">
        <w:rPr>
          <w:rFonts w:ascii="Arial" w:eastAsia="Calibri" w:hAnsi="Arial" w:cs="Arial"/>
          <w:spacing w:val="-12"/>
          <w:sz w:val="21"/>
          <w:szCs w:val="21"/>
          <w:lang w:val="en-US"/>
        </w:rPr>
        <w:t xml:space="preserve"> </w:t>
      </w:r>
      <w:r w:rsidRPr="004A37D1">
        <w:rPr>
          <w:rFonts w:ascii="Arial" w:eastAsia="Calibri" w:hAnsi="Arial" w:cs="Arial"/>
          <w:spacing w:val="-1"/>
          <w:sz w:val="21"/>
          <w:szCs w:val="21"/>
          <w:lang w:val="en-US"/>
        </w:rPr>
        <w:t>s</w:t>
      </w:r>
      <w:r w:rsidRPr="004A37D1">
        <w:rPr>
          <w:rFonts w:ascii="Arial" w:eastAsia="Calibri" w:hAnsi="Arial" w:cs="Arial"/>
          <w:sz w:val="21"/>
          <w:szCs w:val="21"/>
          <w:lang w:val="en-US"/>
        </w:rPr>
        <w:t>taff,</w:t>
      </w:r>
      <w:r w:rsidRPr="004A37D1">
        <w:rPr>
          <w:rFonts w:ascii="Arial" w:eastAsia="Calibri" w:hAnsi="Arial" w:cs="Arial"/>
          <w:spacing w:val="-11"/>
          <w:sz w:val="21"/>
          <w:szCs w:val="21"/>
          <w:lang w:val="en-US"/>
        </w:rPr>
        <w:t xml:space="preserve"> </w:t>
      </w:r>
      <w:r w:rsidRPr="004A37D1">
        <w:rPr>
          <w:rFonts w:ascii="Arial" w:eastAsia="Calibri" w:hAnsi="Arial" w:cs="Arial"/>
          <w:spacing w:val="-1"/>
          <w:sz w:val="21"/>
          <w:szCs w:val="21"/>
          <w:lang w:val="en-US"/>
        </w:rPr>
        <w:t>clients</w:t>
      </w:r>
      <w:r w:rsidRPr="004A37D1">
        <w:rPr>
          <w:rFonts w:ascii="Arial" w:eastAsia="Calibri" w:hAnsi="Arial" w:cs="Arial"/>
          <w:spacing w:val="-13"/>
          <w:sz w:val="21"/>
          <w:szCs w:val="21"/>
          <w:lang w:val="en-US"/>
        </w:rPr>
        <w:t xml:space="preserve"> </w:t>
      </w:r>
      <w:r w:rsidRPr="004A37D1">
        <w:rPr>
          <w:rFonts w:ascii="Arial" w:eastAsia="Calibri" w:hAnsi="Arial" w:cs="Arial"/>
          <w:sz w:val="21"/>
          <w:szCs w:val="21"/>
          <w:lang w:val="en-US"/>
        </w:rPr>
        <w:t>and</w:t>
      </w:r>
      <w:r w:rsidRPr="004A37D1">
        <w:rPr>
          <w:rFonts w:ascii="Arial" w:eastAsia="Calibri" w:hAnsi="Arial" w:cs="Arial"/>
          <w:spacing w:val="-13"/>
          <w:sz w:val="21"/>
          <w:szCs w:val="21"/>
          <w:lang w:val="en-US"/>
        </w:rPr>
        <w:t xml:space="preserve"> </w:t>
      </w:r>
      <w:r w:rsidRPr="004A37D1">
        <w:rPr>
          <w:rFonts w:ascii="Arial" w:eastAsia="Calibri" w:hAnsi="Arial" w:cs="Arial"/>
          <w:spacing w:val="-1"/>
          <w:sz w:val="21"/>
          <w:szCs w:val="21"/>
          <w:lang w:val="en-US"/>
        </w:rPr>
        <w:t>ser</w:t>
      </w:r>
      <w:r w:rsidRPr="004A37D1">
        <w:rPr>
          <w:rFonts w:ascii="Arial" w:eastAsia="Calibri" w:hAnsi="Arial" w:cs="Arial"/>
          <w:sz w:val="21"/>
          <w:szCs w:val="21"/>
          <w:lang w:val="en-US"/>
        </w:rPr>
        <w:t>v</w:t>
      </w:r>
      <w:r w:rsidRPr="004A37D1">
        <w:rPr>
          <w:rFonts w:ascii="Arial" w:eastAsia="Calibri" w:hAnsi="Arial" w:cs="Arial"/>
          <w:spacing w:val="-1"/>
          <w:sz w:val="21"/>
          <w:szCs w:val="21"/>
          <w:lang w:val="en-US"/>
        </w:rPr>
        <w:t>ic</w:t>
      </w:r>
      <w:r w:rsidRPr="004A37D1">
        <w:rPr>
          <w:rFonts w:ascii="Arial" w:eastAsia="Calibri" w:hAnsi="Arial" w:cs="Arial"/>
          <w:sz w:val="21"/>
          <w:szCs w:val="21"/>
          <w:lang w:val="en-US"/>
        </w:rPr>
        <w:t>e</w:t>
      </w:r>
      <w:r w:rsidRPr="004A37D1">
        <w:rPr>
          <w:rFonts w:ascii="Arial" w:eastAsia="Calibri" w:hAnsi="Arial" w:cs="Arial"/>
          <w:spacing w:val="-12"/>
          <w:sz w:val="21"/>
          <w:szCs w:val="21"/>
          <w:lang w:val="en-US"/>
        </w:rPr>
        <w:t xml:space="preserve"> </w:t>
      </w:r>
      <w:r w:rsidRPr="004A37D1">
        <w:rPr>
          <w:rFonts w:ascii="Arial" w:eastAsia="Calibri" w:hAnsi="Arial" w:cs="Arial"/>
          <w:sz w:val="21"/>
          <w:szCs w:val="21"/>
          <w:lang w:val="en-US"/>
        </w:rPr>
        <w:t>pr</w:t>
      </w:r>
      <w:r w:rsidRPr="004A37D1">
        <w:rPr>
          <w:rFonts w:ascii="Arial" w:eastAsia="Calibri" w:hAnsi="Arial" w:cs="Arial"/>
          <w:spacing w:val="-1"/>
          <w:sz w:val="21"/>
          <w:szCs w:val="21"/>
          <w:lang w:val="en-US"/>
        </w:rPr>
        <w:t>o</w:t>
      </w:r>
      <w:r w:rsidRPr="004A37D1">
        <w:rPr>
          <w:rFonts w:ascii="Arial" w:eastAsia="Calibri" w:hAnsi="Arial" w:cs="Arial"/>
          <w:sz w:val="21"/>
          <w:szCs w:val="21"/>
          <w:lang w:val="en-US"/>
        </w:rPr>
        <w:t>v</w:t>
      </w:r>
      <w:r w:rsidRPr="004A37D1">
        <w:rPr>
          <w:rFonts w:ascii="Arial" w:eastAsia="Calibri" w:hAnsi="Arial" w:cs="Arial"/>
          <w:spacing w:val="-1"/>
          <w:sz w:val="21"/>
          <w:szCs w:val="21"/>
          <w:lang w:val="en-US"/>
        </w:rPr>
        <w:t>id</w:t>
      </w:r>
      <w:r w:rsidRPr="004A37D1">
        <w:rPr>
          <w:rFonts w:ascii="Arial" w:eastAsia="Calibri" w:hAnsi="Arial" w:cs="Arial"/>
          <w:sz w:val="21"/>
          <w:szCs w:val="21"/>
          <w:lang w:val="en-US"/>
        </w:rPr>
        <w:t>er</w:t>
      </w:r>
      <w:r w:rsidRPr="004A37D1">
        <w:rPr>
          <w:rFonts w:ascii="Arial" w:eastAsia="Calibri" w:hAnsi="Arial" w:cs="Arial"/>
          <w:spacing w:val="-1"/>
          <w:sz w:val="21"/>
          <w:szCs w:val="21"/>
          <w:lang w:val="en-US"/>
        </w:rPr>
        <w:t>s.</w:t>
      </w:r>
      <w:r w:rsidRPr="004A37D1">
        <w:rPr>
          <w:rFonts w:ascii="Arial" w:eastAsia="Times New Roman" w:hAnsi="Arial" w:cs="Arial"/>
          <w:sz w:val="21"/>
          <w:szCs w:val="21"/>
          <w:lang w:eastAsia="en-AU"/>
        </w:rPr>
        <w:t xml:space="preserve"> </w:t>
      </w:r>
      <w:r w:rsidRPr="004A37D1">
        <w:rPr>
          <w:rFonts w:ascii="Arial" w:eastAsia="Calibri" w:hAnsi="Arial" w:cs="Arial"/>
          <w:spacing w:val="-1"/>
          <w:sz w:val="21"/>
          <w:szCs w:val="21"/>
          <w:lang w:val="en-US"/>
        </w:rPr>
        <w:t>The Fraud and Corruption Control Sub-Committee, which reports to the Finance Committee, continued to exercise its mandate to provide oversight of the department’s fraud and corruption prevention program, and to monitor the effectiveness of internal controls and compliance with relevant legislation and government practice requirements, through its quarterly meetings.</w:t>
      </w:r>
    </w:p>
    <w:p w14:paraId="486A5E79" w14:textId="77777777" w:rsidR="004A37D1" w:rsidRPr="004A37D1" w:rsidRDefault="004A37D1" w:rsidP="004A37D1">
      <w:pPr>
        <w:spacing w:after="120" w:line="240" w:lineRule="auto"/>
        <w:rPr>
          <w:rFonts w:ascii="Arial" w:eastAsia="Calibri" w:hAnsi="Arial" w:cs="Arial"/>
          <w:sz w:val="21"/>
          <w:szCs w:val="21"/>
          <w:lang w:val="en-US"/>
        </w:rPr>
      </w:pPr>
      <w:r w:rsidRPr="004A37D1">
        <w:rPr>
          <w:rFonts w:ascii="Arial" w:eastAsia="Calibri" w:hAnsi="Arial" w:cs="Arial"/>
          <w:sz w:val="21"/>
          <w:szCs w:val="21"/>
          <w:lang w:val="en-US"/>
        </w:rPr>
        <w:t>During the reporting period, the department:</w:t>
      </w:r>
    </w:p>
    <w:p w14:paraId="33B730DC" w14:textId="77777777" w:rsidR="004A37D1" w:rsidRPr="004A37D1" w:rsidRDefault="004A37D1" w:rsidP="007054F2">
      <w:pPr>
        <w:numPr>
          <w:ilvl w:val="0"/>
          <w:numId w:val="10"/>
        </w:numPr>
        <w:spacing w:after="200" w:line="276" w:lineRule="auto"/>
        <w:contextualSpacing/>
        <w:rPr>
          <w:rFonts w:ascii="Arial" w:eastAsia="Calibri" w:hAnsi="Arial" w:cs="Arial"/>
          <w:sz w:val="21"/>
          <w:szCs w:val="21"/>
          <w:lang w:val="en-US"/>
        </w:rPr>
      </w:pPr>
      <w:proofErr w:type="spellStart"/>
      <w:r w:rsidRPr="004A37D1">
        <w:rPr>
          <w:rFonts w:ascii="Arial" w:eastAsia="Calibri" w:hAnsi="Arial" w:cs="Arial"/>
          <w:sz w:val="21"/>
          <w:szCs w:val="21"/>
          <w:lang w:val="en-US"/>
        </w:rPr>
        <w:t>finalised</w:t>
      </w:r>
      <w:proofErr w:type="spellEnd"/>
      <w:r w:rsidRPr="004A37D1">
        <w:rPr>
          <w:rFonts w:ascii="Arial" w:eastAsia="Calibri" w:hAnsi="Arial" w:cs="Arial"/>
          <w:sz w:val="21"/>
          <w:szCs w:val="21"/>
          <w:lang w:val="en-US"/>
        </w:rPr>
        <w:t xml:space="preserve"> the development and publication of the department’s three-year Fraud and Corruption Control Action Plan, supported by an annual reporting regime </w:t>
      </w:r>
    </w:p>
    <w:p w14:paraId="15DA26CA" w14:textId="77777777" w:rsidR="004A37D1" w:rsidRPr="004A37D1" w:rsidRDefault="004A37D1" w:rsidP="007054F2">
      <w:pPr>
        <w:numPr>
          <w:ilvl w:val="0"/>
          <w:numId w:val="10"/>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continued to implement the department’s Fraud and Corruption Control Policy and Procedure through active monitoring and oversight by the Fraud and Corruption Control Sub-Committee</w:t>
      </w:r>
    </w:p>
    <w:p w14:paraId="6D0ED611" w14:textId="77777777" w:rsidR="004A37D1" w:rsidRPr="004A37D1" w:rsidRDefault="004A37D1" w:rsidP="007054F2">
      <w:pPr>
        <w:numPr>
          <w:ilvl w:val="0"/>
          <w:numId w:val="10"/>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lastRenderedPageBreak/>
        <w:t>developed the fraud and corruption control risk register to support the systematic identification, assessment, review and monitoring of fraud risks within the department</w:t>
      </w:r>
    </w:p>
    <w:p w14:paraId="6D373D57" w14:textId="77777777" w:rsidR="004A37D1" w:rsidRPr="004A37D1" w:rsidRDefault="004A37D1" w:rsidP="007054F2">
      <w:pPr>
        <w:numPr>
          <w:ilvl w:val="0"/>
          <w:numId w:val="10"/>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continued to prepare quarterly fraud and corruption control risk register reports to provide the Finance Committee with assurance that the department’s fraud risks are adequately being managed and monitored</w:t>
      </w:r>
    </w:p>
    <w:p w14:paraId="7B39137C" w14:textId="77777777" w:rsidR="004A37D1" w:rsidRPr="004A37D1" w:rsidRDefault="004A37D1" w:rsidP="007054F2">
      <w:pPr>
        <w:numPr>
          <w:ilvl w:val="0"/>
          <w:numId w:val="10"/>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completed the fraud and corruption control self-assessment to evaluate the effectiveness of the department’s fraud and corruption controls following the machinery-of-government changes</w:t>
      </w:r>
    </w:p>
    <w:p w14:paraId="57AD7701" w14:textId="77777777" w:rsidR="004A37D1" w:rsidRPr="004A37D1" w:rsidRDefault="004A37D1" w:rsidP="007054F2">
      <w:pPr>
        <w:numPr>
          <w:ilvl w:val="0"/>
          <w:numId w:val="10"/>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 xml:space="preserve">ensured alignment of the department’s Fraud and Corruption Control program with the requirements of the new Australian Standard on Fraud and Corruption Control (AS 8001:2021) </w:t>
      </w:r>
    </w:p>
    <w:p w14:paraId="34BB3E0D" w14:textId="77777777" w:rsidR="004A37D1" w:rsidRPr="004A37D1" w:rsidRDefault="004A37D1" w:rsidP="007054F2">
      <w:pPr>
        <w:numPr>
          <w:ilvl w:val="0"/>
          <w:numId w:val="10"/>
        </w:numPr>
        <w:spacing w:after="200" w:line="276" w:lineRule="auto"/>
        <w:contextualSpacing/>
        <w:rPr>
          <w:rFonts w:ascii="Arial" w:eastAsia="Calibri" w:hAnsi="Arial" w:cs="Arial"/>
          <w:sz w:val="21"/>
          <w:szCs w:val="21"/>
          <w:lang w:val="en-US"/>
        </w:rPr>
      </w:pPr>
      <w:r w:rsidRPr="004A37D1">
        <w:rPr>
          <w:rFonts w:ascii="Arial" w:eastAsia="Calibri" w:hAnsi="Arial" w:cs="Arial"/>
          <w:sz w:val="21"/>
          <w:szCs w:val="21"/>
          <w:lang w:val="en-US"/>
        </w:rPr>
        <w:t>strengthened its resilience to fraud and corruption through regular monitoring by the Fraud and Corruption Control Sub-Committee and the implementation of a variety of training and awareness raising strategies (</w:t>
      </w:r>
      <w:proofErr w:type="gramStart"/>
      <w:r w:rsidRPr="004A37D1">
        <w:rPr>
          <w:rFonts w:ascii="Arial" w:eastAsia="Calibri" w:hAnsi="Arial" w:cs="Arial"/>
          <w:sz w:val="21"/>
          <w:szCs w:val="21"/>
          <w:lang w:val="en-US"/>
        </w:rPr>
        <w:t>e.g.</w:t>
      </w:r>
      <w:proofErr w:type="gramEnd"/>
      <w:r w:rsidRPr="004A37D1">
        <w:rPr>
          <w:rFonts w:ascii="Arial" w:eastAsia="Calibri" w:hAnsi="Arial" w:cs="Arial"/>
          <w:sz w:val="21"/>
          <w:szCs w:val="21"/>
          <w:lang w:val="en-US"/>
        </w:rPr>
        <w:t xml:space="preserve"> information security awareness campaign) to foster an ethical </w:t>
      </w:r>
      <w:proofErr w:type="spellStart"/>
      <w:r w:rsidRPr="004A37D1">
        <w:rPr>
          <w:rFonts w:ascii="Arial" w:eastAsia="Calibri" w:hAnsi="Arial" w:cs="Arial"/>
          <w:sz w:val="21"/>
          <w:szCs w:val="21"/>
          <w:lang w:val="en-US"/>
        </w:rPr>
        <w:t>organisational</w:t>
      </w:r>
      <w:proofErr w:type="spellEnd"/>
      <w:r w:rsidRPr="004A37D1">
        <w:rPr>
          <w:rFonts w:ascii="Arial" w:eastAsia="Calibri" w:hAnsi="Arial" w:cs="Arial"/>
          <w:sz w:val="21"/>
          <w:szCs w:val="21"/>
          <w:lang w:val="en-US"/>
        </w:rPr>
        <w:t xml:space="preserve"> culture. </w:t>
      </w:r>
    </w:p>
    <w:p w14:paraId="0E4846A7" w14:textId="77777777" w:rsidR="004A37D1" w:rsidRPr="004A37D1" w:rsidRDefault="004A37D1" w:rsidP="004A37D1">
      <w:pPr>
        <w:pStyle w:val="Heading2"/>
        <w:keepLines w:val="0"/>
        <w:spacing w:before="0" w:after="120" w:line="240" w:lineRule="auto"/>
        <w:rPr>
          <w:rFonts w:ascii="Arial" w:hAnsi="Arial"/>
          <w:color w:val="auto"/>
        </w:rPr>
      </w:pPr>
      <w:bookmarkStart w:id="22" w:name="_Toc78287403"/>
      <w:bookmarkStart w:id="23" w:name="_Toc78355810"/>
      <w:bookmarkStart w:id="24" w:name="_Toc113544403"/>
      <w:bookmarkEnd w:id="18"/>
      <w:r w:rsidRPr="004A37D1">
        <w:rPr>
          <w:rFonts w:ascii="Arial" w:hAnsi="Arial"/>
          <w:color w:val="auto"/>
        </w:rPr>
        <w:t>Information systems and recordkeeping</w:t>
      </w:r>
      <w:bookmarkEnd w:id="22"/>
      <w:bookmarkEnd w:id="23"/>
      <w:bookmarkEnd w:id="24"/>
      <w:r w:rsidRPr="004A37D1">
        <w:rPr>
          <w:rFonts w:ascii="Arial" w:hAnsi="Arial"/>
          <w:color w:val="auto"/>
        </w:rPr>
        <w:t xml:space="preserve"> </w:t>
      </w:r>
    </w:p>
    <w:p w14:paraId="05CB248D" w14:textId="77777777" w:rsidR="004A37D1" w:rsidRPr="004A37D1" w:rsidRDefault="004A37D1" w:rsidP="004A37D1">
      <w:pPr>
        <w:spacing w:after="200" w:line="276" w:lineRule="auto"/>
        <w:rPr>
          <w:rFonts w:ascii="Arial" w:eastAsia="Calibri" w:hAnsi="Arial" w:cs="Arial"/>
          <w:sz w:val="21"/>
          <w:szCs w:val="21"/>
          <w:lang w:val="en-US"/>
        </w:rPr>
      </w:pPr>
      <w:r w:rsidRPr="004A37D1">
        <w:rPr>
          <w:rFonts w:ascii="Arial" w:eastAsia="Calibri" w:hAnsi="Arial" w:cs="Arial"/>
          <w:sz w:val="21"/>
          <w:szCs w:val="21"/>
          <w:lang w:val="en-US"/>
        </w:rPr>
        <w:t>The</w:t>
      </w:r>
      <w:r w:rsidRPr="004A37D1">
        <w:rPr>
          <w:rFonts w:ascii="Arial" w:eastAsia="Calibri" w:hAnsi="Arial" w:cs="Arial"/>
          <w:spacing w:val="-22"/>
          <w:sz w:val="21"/>
          <w:szCs w:val="21"/>
          <w:lang w:val="en-US"/>
        </w:rPr>
        <w:t xml:space="preserve"> </w:t>
      </w:r>
      <w:r w:rsidRPr="004A37D1">
        <w:rPr>
          <w:rFonts w:ascii="Arial" w:eastAsia="Calibri" w:hAnsi="Arial" w:cs="Arial"/>
          <w:spacing w:val="-1"/>
          <w:sz w:val="21"/>
          <w:szCs w:val="21"/>
          <w:lang w:val="en-US"/>
        </w:rPr>
        <w:t>dep</w:t>
      </w:r>
      <w:r w:rsidRPr="004A37D1">
        <w:rPr>
          <w:rFonts w:ascii="Arial" w:eastAsia="Calibri" w:hAnsi="Arial" w:cs="Arial"/>
          <w:spacing w:val="-2"/>
          <w:sz w:val="21"/>
          <w:szCs w:val="21"/>
          <w:lang w:val="en-US"/>
        </w:rPr>
        <w:t>artment’s</w:t>
      </w:r>
      <w:r w:rsidRPr="004A37D1">
        <w:rPr>
          <w:rFonts w:ascii="Arial" w:eastAsia="Calibri" w:hAnsi="Arial" w:cs="Arial"/>
          <w:spacing w:val="-22"/>
          <w:sz w:val="21"/>
          <w:szCs w:val="21"/>
          <w:lang w:val="en-US"/>
        </w:rPr>
        <w:t xml:space="preserve"> </w:t>
      </w:r>
      <w:r w:rsidRPr="004A37D1">
        <w:rPr>
          <w:rFonts w:ascii="Arial" w:eastAsia="Calibri" w:hAnsi="Arial" w:cs="Arial"/>
          <w:spacing w:val="-2"/>
          <w:sz w:val="21"/>
          <w:szCs w:val="21"/>
          <w:lang w:val="en-US"/>
        </w:rPr>
        <w:t>information</w:t>
      </w:r>
      <w:r w:rsidRPr="004A37D1">
        <w:rPr>
          <w:rFonts w:ascii="Arial" w:eastAsia="Calibri" w:hAnsi="Arial" w:cs="Arial"/>
          <w:spacing w:val="-22"/>
          <w:sz w:val="21"/>
          <w:szCs w:val="21"/>
          <w:lang w:val="en-US"/>
        </w:rPr>
        <w:t xml:space="preserve"> </w:t>
      </w:r>
      <w:r w:rsidRPr="004A37D1">
        <w:rPr>
          <w:rFonts w:ascii="Arial" w:eastAsia="Calibri" w:hAnsi="Arial" w:cs="Arial"/>
          <w:sz w:val="21"/>
          <w:szCs w:val="21"/>
          <w:lang w:val="en-US"/>
        </w:rPr>
        <w:t>and</w:t>
      </w:r>
      <w:r w:rsidRPr="004A37D1">
        <w:rPr>
          <w:rFonts w:ascii="Arial" w:eastAsia="Calibri" w:hAnsi="Arial" w:cs="Arial"/>
          <w:spacing w:val="-22"/>
          <w:sz w:val="21"/>
          <w:szCs w:val="21"/>
          <w:lang w:val="en-US"/>
        </w:rPr>
        <w:t xml:space="preserve"> </w:t>
      </w:r>
      <w:r w:rsidRPr="004A37D1">
        <w:rPr>
          <w:rFonts w:ascii="Arial" w:eastAsia="Calibri" w:hAnsi="Arial" w:cs="Arial"/>
          <w:spacing w:val="-1"/>
          <w:sz w:val="21"/>
          <w:szCs w:val="21"/>
          <w:lang w:val="en-US"/>
        </w:rPr>
        <w:t>c</w:t>
      </w:r>
      <w:r w:rsidRPr="004A37D1">
        <w:rPr>
          <w:rFonts w:ascii="Arial" w:eastAsia="Calibri" w:hAnsi="Arial" w:cs="Arial"/>
          <w:spacing w:val="-2"/>
          <w:sz w:val="21"/>
          <w:szCs w:val="21"/>
          <w:lang w:val="en-US"/>
        </w:rPr>
        <w:t>ommu</w:t>
      </w:r>
      <w:r w:rsidRPr="004A37D1">
        <w:rPr>
          <w:rFonts w:ascii="Arial" w:eastAsia="Calibri" w:hAnsi="Arial" w:cs="Arial"/>
          <w:spacing w:val="-1"/>
          <w:sz w:val="21"/>
          <w:szCs w:val="21"/>
          <w:lang w:val="en-US"/>
        </w:rPr>
        <w:t>nic</w:t>
      </w:r>
      <w:r w:rsidRPr="004A37D1">
        <w:rPr>
          <w:rFonts w:ascii="Arial" w:eastAsia="Calibri" w:hAnsi="Arial" w:cs="Arial"/>
          <w:spacing w:val="-2"/>
          <w:sz w:val="21"/>
          <w:szCs w:val="21"/>
          <w:lang w:val="en-US"/>
        </w:rPr>
        <w:t>ation</w:t>
      </w:r>
      <w:r w:rsidRPr="004A37D1">
        <w:rPr>
          <w:rFonts w:ascii="Arial" w:eastAsia="Calibri" w:hAnsi="Arial" w:cs="Arial"/>
          <w:spacing w:val="-22"/>
          <w:sz w:val="21"/>
          <w:szCs w:val="21"/>
          <w:lang w:val="en-US"/>
        </w:rPr>
        <w:t xml:space="preserve"> </w:t>
      </w:r>
      <w:r w:rsidRPr="004A37D1">
        <w:rPr>
          <w:rFonts w:ascii="Arial" w:eastAsia="Calibri" w:hAnsi="Arial" w:cs="Arial"/>
          <w:spacing w:val="-2"/>
          <w:sz w:val="21"/>
          <w:szCs w:val="21"/>
          <w:lang w:val="en-US"/>
        </w:rPr>
        <w:t>tec</w:t>
      </w:r>
      <w:r w:rsidRPr="004A37D1">
        <w:rPr>
          <w:rFonts w:ascii="Arial" w:eastAsia="Calibri" w:hAnsi="Arial" w:cs="Arial"/>
          <w:spacing w:val="-1"/>
          <w:sz w:val="21"/>
          <w:szCs w:val="21"/>
          <w:lang w:val="en-US"/>
        </w:rPr>
        <w:t>hnolog</w:t>
      </w:r>
      <w:r w:rsidRPr="004A37D1">
        <w:rPr>
          <w:rFonts w:ascii="Arial" w:eastAsia="Calibri" w:hAnsi="Arial" w:cs="Arial"/>
          <w:spacing w:val="-2"/>
          <w:sz w:val="21"/>
          <w:szCs w:val="21"/>
          <w:lang w:val="en-US"/>
        </w:rPr>
        <w:t>y-en</w:t>
      </w:r>
      <w:r w:rsidRPr="004A37D1">
        <w:rPr>
          <w:rFonts w:ascii="Arial" w:eastAsia="Calibri" w:hAnsi="Arial" w:cs="Arial"/>
          <w:spacing w:val="-1"/>
          <w:sz w:val="21"/>
          <w:szCs w:val="21"/>
          <w:lang w:val="en-US"/>
        </w:rPr>
        <w:t>abled</w:t>
      </w:r>
      <w:r w:rsidRPr="004A37D1">
        <w:rPr>
          <w:rFonts w:ascii="Arial" w:eastAsia="Calibri" w:hAnsi="Arial" w:cs="Arial"/>
          <w:spacing w:val="-13"/>
          <w:sz w:val="21"/>
          <w:szCs w:val="21"/>
          <w:lang w:val="en-US"/>
        </w:rPr>
        <w:t xml:space="preserve"> </w:t>
      </w:r>
      <w:r w:rsidRPr="004A37D1">
        <w:rPr>
          <w:rFonts w:ascii="Arial" w:eastAsia="Calibri" w:hAnsi="Arial" w:cs="Arial"/>
          <w:spacing w:val="-1"/>
          <w:sz w:val="21"/>
          <w:szCs w:val="21"/>
          <w:lang w:val="en-US"/>
        </w:rPr>
        <w:t>business</w:t>
      </w:r>
      <w:r w:rsidRPr="004A37D1">
        <w:rPr>
          <w:rFonts w:ascii="Arial" w:eastAsia="Calibri" w:hAnsi="Arial" w:cs="Arial"/>
          <w:spacing w:val="-12"/>
          <w:sz w:val="21"/>
          <w:szCs w:val="21"/>
          <w:lang w:val="en-US"/>
        </w:rPr>
        <w:t xml:space="preserve"> </w:t>
      </w:r>
      <w:r w:rsidRPr="004A37D1">
        <w:rPr>
          <w:rFonts w:ascii="Arial" w:eastAsia="Calibri" w:hAnsi="Arial" w:cs="Arial"/>
          <w:spacing w:val="-2"/>
          <w:sz w:val="21"/>
          <w:szCs w:val="21"/>
          <w:lang w:val="en-US"/>
        </w:rPr>
        <w:t>initiative</w:t>
      </w:r>
      <w:r w:rsidRPr="004A37D1">
        <w:rPr>
          <w:rFonts w:ascii="Arial" w:eastAsia="Calibri" w:hAnsi="Arial" w:cs="Arial"/>
          <w:spacing w:val="-1"/>
          <w:sz w:val="21"/>
          <w:szCs w:val="21"/>
          <w:lang w:val="en-US"/>
        </w:rPr>
        <w:t>s</w:t>
      </w:r>
      <w:r w:rsidRPr="004A37D1">
        <w:rPr>
          <w:rFonts w:ascii="Arial" w:eastAsia="Calibri" w:hAnsi="Arial" w:cs="Arial"/>
          <w:spacing w:val="-12"/>
          <w:sz w:val="21"/>
          <w:szCs w:val="21"/>
          <w:lang w:val="en-US"/>
        </w:rPr>
        <w:t xml:space="preserve"> </w:t>
      </w:r>
      <w:r w:rsidRPr="004A37D1">
        <w:rPr>
          <w:rFonts w:ascii="Arial" w:eastAsia="Calibri" w:hAnsi="Arial" w:cs="Arial"/>
          <w:sz w:val="21"/>
          <w:szCs w:val="21"/>
          <w:lang w:val="en-US"/>
        </w:rPr>
        <w:t>are</w:t>
      </w:r>
      <w:r w:rsidRPr="004A37D1">
        <w:rPr>
          <w:rFonts w:ascii="Arial" w:eastAsia="Calibri" w:hAnsi="Arial" w:cs="Arial"/>
          <w:spacing w:val="-11"/>
          <w:sz w:val="21"/>
          <w:szCs w:val="21"/>
          <w:lang w:val="en-US"/>
        </w:rPr>
        <w:t xml:space="preserve"> </w:t>
      </w:r>
      <w:r w:rsidRPr="004A37D1">
        <w:rPr>
          <w:rFonts w:ascii="Arial" w:eastAsia="Calibri" w:hAnsi="Arial" w:cs="Arial"/>
          <w:spacing w:val="-2"/>
          <w:sz w:val="21"/>
          <w:szCs w:val="21"/>
          <w:lang w:val="en-US"/>
        </w:rPr>
        <w:t>pr</w:t>
      </w:r>
      <w:r w:rsidRPr="004A37D1">
        <w:rPr>
          <w:rFonts w:ascii="Arial" w:eastAsia="Calibri" w:hAnsi="Arial" w:cs="Arial"/>
          <w:spacing w:val="-1"/>
          <w:sz w:val="21"/>
          <w:szCs w:val="21"/>
          <w:lang w:val="en-US"/>
        </w:rPr>
        <w:t>o</w:t>
      </w:r>
      <w:r w:rsidRPr="004A37D1">
        <w:rPr>
          <w:rFonts w:ascii="Arial" w:eastAsia="Calibri" w:hAnsi="Arial" w:cs="Arial"/>
          <w:spacing w:val="-2"/>
          <w:sz w:val="21"/>
          <w:szCs w:val="21"/>
          <w:lang w:val="en-US"/>
        </w:rPr>
        <w:t>v</w:t>
      </w:r>
      <w:r w:rsidRPr="004A37D1">
        <w:rPr>
          <w:rFonts w:ascii="Arial" w:eastAsia="Calibri" w:hAnsi="Arial" w:cs="Arial"/>
          <w:spacing w:val="-1"/>
          <w:sz w:val="21"/>
          <w:szCs w:val="21"/>
          <w:lang w:val="en-US"/>
        </w:rPr>
        <w:t>ided</w:t>
      </w:r>
      <w:r w:rsidRPr="004A37D1">
        <w:rPr>
          <w:rFonts w:ascii="Arial" w:eastAsia="Calibri" w:hAnsi="Arial" w:cs="Arial"/>
          <w:spacing w:val="-12"/>
          <w:sz w:val="21"/>
          <w:szCs w:val="21"/>
          <w:lang w:val="en-US"/>
        </w:rPr>
        <w:t xml:space="preserve"> </w:t>
      </w:r>
      <w:r w:rsidRPr="004A37D1">
        <w:rPr>
          <w:rFonts w:ascii="Arial" w:eastAsia="Calibri" w:hAnsi="Arial" w:cs="Arial"/>
          <w:spacing w:val="-1"/>
          <w:sz w:val="21"/>
          <w:szCs w:val="21"/>
          <w:lang w:val="en-US"/>
        </w:rPr>
        <w:t>b</w:t>
      </w:r>
      <w:r w:rsidRPr="004A37D1">
        <w:rPr>
          <w:rFonts w:ascii="Arial" w:eastAsia="Calibri" w:hAnsi="Arial" w:cs="Arial"/>
          <w:spacing w:val="-2"/>
          <w:sz w:val="21"/>
          <w:szCs w:val="21"/>
          <w:lang w:val="en-US"/>
        </w:rPr>
        <w:t>y</w:t>
      </w:r>
      <w:r w:rsidRPr="004A37D1">
        <w:rPr>
          <w:rFonts w:ascii="Arial" w:eastAsia="Calibri" w:hAnsi="Arial" w:cs="Arial"/>
          <w:spacing w:val="-12"/>
          <w:sz w:val="21"/>
          <w:szCs w:val="21"/>
          <w:lang w:val="en-US"/>
        </w:rPr>
        <w:t xml:space="preserve"> </w:t>
      </w:r>
      <w:r w:rsidRPr="004A37D1">
        <w:rPr>
          <w:rFonts w:ascii="Arial" w:eastAsia="Calibri" w:hAnsi="Arial" w:cs="Arial"/>
          <w:sz w:val="21"/>
          <w:szCs w:val="21"/>
          <w:lang w:val="en-US"/>
        </w:rPr>
        <w:t>the</w:t>
      </w:r>
      <w:r w:rsidRPr="004A37D1">
        <w:rPr>
          <w:rFonts w:ascii="Arial" w:eastAsia="Calibri" w:hAnsi="Arial" w:cs="Arial"/>
          <w:spacing w:val="-11"/>
          <w:sz w:val="21"/>
          <w:szCs w:val="21"/>
          <w:lang w:val="en-US"/>
        </w:rPr>
        <w:t xml:space="preserve"> </w:t>
      </w:r>
      <w:r w:rsidRPr="004A37D1">
        <w:rPr>
          <w:rFonts w:ascii="Arial" w:eastAsia="Calibri" w:hAnsi="Arial" w:cs="Arial"/>
          <w:sz w:val="21"/>
          <w:szCs w:val="21"/>
          <w:lang w:val="en-US"/>
        </w:rPr>
        <w:t>Department</w:t>
      </w:r>
      <w:r w:rsidRPr="004A37D1">
        <w:rPr>
          <w:rFonts w:ascii="Arial" w:eastAsia="Calibri" w:hAnsi="Arial" w:cs="Arial"/>
          <w:spacing w:val="29"/>
          <w:w w:val="95"/>
          <w:sz w:val="21"/>
          <w:szCs w:val="21"/>
          <w:lang w:val="en-US"/>
        </w:rPr>
        <w:t xml:space="preserve"> </w:t>
      </w:r>
      <w:r w:rsidRPr="004A37D1">
        <w:rPr>
          <w:rFonts w:ascii="Arial" w:eastAsia="Calibri" w:hAnsi="Arial" w:cs="Arial"/>
          <w:sz w:val="21"/>
          <w:szCs w:val="21"/>
          <w:lang w:val="en-US"/>
        </w:rPr>
        <w:t>of Children, Youth Justice and Multicultural Affairs (DCYJMA) as part</w:t>
      </w:r>
      <w:r w:rsidRPr="004A37D1">
        <w:rPr>
          <w:rFonts w:ascii="Arial" w:eastAsia="Calibri" w:hAnsi="Arial" w:cs="Arial"/>
          <w:spacing w:val="-13"/>
          <w:sz w:val="21"/>
          <w:szCs w:val="21"/>
          <w:lang w:val="en-US"/>
        </w:rPr>
        <w:t xml:space="preserve"> </w:t>
      </w:r>
      <w:r w:rsidRPr="004A37D1">
        <w:rPr>
          <w:rFonts w:ascii="Arial" w:eastAsia="Calibri" w:hAnsi="Arial" w:cs="Arial"/>
          <w:sz w:val="21"/>
          <w:szCs w:val="21"/>
          <w:lang w:val="en-US"/>
        </w:rPr>
        <w:t>of</w:t>
      </w:r>
      <w:r w:rsidRPr="004A37D1">
        <w:rPr>
          <w:rFonts w:ascii="Arial" w:eastAsia="Calibri" w:hAnsi="Arial" w:cs="Arial"/>
          <w:spacing w:val="-12"/>
          <w:sz w:val="21"/>
          <w:szCs w:val="21"/>
          <w:lang w:val="en-US"/>
        </w:rPr>
        <w:t xml:space="preserve"> </w:t>
      </w:r>
      <w:r w:rsidRPr="004A37D1">
        <w:rPr>
          <w:rFonts w:ascii="Arial" w:eastAsia="Calibri" w:hAnsi="Arial" w:cs="Arial"/>
          <w:sz w:val="21"/>
          <w:szCs w:val="21"/>
          <w:lang w:val="en-US"/>
        </w:rPr>
        <w:t>an</w:t>
      </w:r>
      <w:r w:rsidRPr="004A37D1">
        <w:rPr>
          <w:rFonts w:ascii="Arial" w:eastAsia="Calibri" w:hAnsi="Arial" w:cs="Arial"/>
          <w:spacing w:val="-11"/>
          <w:sz w:val="21"/>
          <w:szCs w:val="21"/>
          <w:lang w:val="en-US"/>
        </w:rPr>
        <w:t xml:space="preserve"> </w:t>
      </w:r>
      <w:r w:rsidRPr="004A37D1">
        <w:rPr>
          <w:rFonts w:ascii="Arial" w:eastAsia="Calibri" w:hAnsi="Arial" w:cs="Arial"/>
          <w:spacing w:val="-1"/>
          <w:sz w:val="21"/>
          <w:szCs w:val="21"/>
          <w:lang w:val="en-US"/>
        </w:rPr>
        <w:t>o</w:t>
      </w:r>
      <w:r w:rsidRPr="004A37D1">
        <w:rPr>
          <w:rFonts w:ascii="Arial" w:eastAsia="Calibri" w:hAnsi="Arial" w:cs="Arial"/>
          <w:spacing w:val="-2"/>
          <w:sz w:val="21"/>
          <w:szCs w:val="21"/>
          <w:lang w:val="en-US"/>
        </w:rPr>
        <w:t>ver</w:t>
      </w:r>
      <w:r w:rsidRPr="004A37D1">
        <w:rPr>
          <w:rFonts w:ascii="Arial" w:eastAsia="Calibri" w:hAnsi="Arial" w:cs="Arial"/>
          <w:spacing w:val="-1"/>
          <w:sz w:val="21"/>
          <w:szCs w:val="21"/>
          <w:lang w:val="en-US"/>
        </w:rPr>
        <w:t>arching</w:t>
      </w:r>
      <w:r w:rsidRPr="004A37D1">
        <w:rPr>
          <w:rFonts w:ascii="Arial" w:eastAsia="Calibri" w:hAnsi="Arial" w:cs="Arial"/>
          <w:spacing w:val="37"/>
          <w:w w:val="105"/>
          <w:sz w:val="21"/>
          <w:szCs w:val="21"/>
          <w:lang w:val="en-US"/>
        </w:rPr>
        <w:t xml:space="preserve"> </w:t>
      </w:r>
      <w:r w:rsidRPr="004A37D1">
        <w:rPr>
          <w:rFonts w:ascii="Arial" w:eastAsia="Calibri" w:hAnsi="Arial" w:cs="Arial"/>
          <w:spacing w:val="-2"/>
          <w:sz w:val="21"/>
          <w:szCs w:val="21"/>
          <w:lang w:val="en-US"/>
        </w:rPr>
        <w:t>Memor</w:t>
      </w:r>
      <w:r w:rsidRPr="004A37D1">
        <w:rPr>
          <w:rFonts w:ascii="Arial" w:eastAsia="Calibri" w:hAnsi="Arial" w:cs="Arial"/>
          <w:spacing w:val="-1"/>
          <w:sz w:val="21"/>
          <w:szCs w:val="21"/>
          <w:lang w:val="en-US"/>
        </w:rPr>
        <w:t>andu</w:t>
      </w:r>
      <w:r w:rsidRPr="004A37D1">
        <w:rPr>
          <w:rFonts w:ascii="Arial" w:eastAsia="Calibri" w:hAnsi="Arial" w:cs="Arial"/>
          <w:spacing w:val="-2"/>
          <w:sz w:val="21"/>
          <w:szCs w:val="21"/>
          <w:lang w:val="en-US"/>
        </w:rPr>
        <w:t>m</w:t>
      </w:r>
      <w:r w:rsidRPr="004A37D1">
        <w:rPr>
          <w:rFonts w:ascii="Arial" w:eastAsia="Calibri" w:hAnsi="Arial" w:cs="Arial"/>
          <w:spacing w:val="-20"/>
          <w:sz w:val="21"/>
          <w:szCs w:val="21"/>
          <w:lang w:val="en-US"/>
        </w:rPr>
        <w:t xml:space="preserve"> </w:t>
      </w:r>
      <w:r w:rsidRPr="004A37D1">
        <w:rPr>
          <w:rFonts w:ascii="Arial" w:eastAsia="Calibri" w:hAnsi="Arial" w:cs="Arial"/>
          <w:sz w:val="21"/>
          <w:szCs w:val="21"/>
          <w:lang w:val="en-US"/>
        </w:rPr>
        <w:t>of</w:t>
      </w:r>
      <w:r w:rsidRPr="004A37D1">
        <w:rPr>
          <w:rFonts w:ascii="Arial" w:eastAsia="Calibri" w:hAnsi="Arial" w:cs="Arial"/>
          <w:spacing w:val="-21"/>
          <w:sz w:val="21"/>
          <w:szCs w:val="21"/>
          <w:lang w:val="en-US"/>
        </w:rPr>
        <w:t xml:space="preserve"> </w:t>
      </w:r>
      <w:r w:rsidRPr="004A37D1">
        <w:rPr>
          <w:rFonts w:ascii="Arial" w:eastAsia="Calibri" w:hAnsi="Arial" w:cs="Arial"/>
          <w:spacing w:val="-2"/>
          <w:sz w:val="21"/>
          <w:szCs w:val="21"/>
          <w:lang w:val="en-US"/>
        </w:rPr>
        <w:t>Under</w:t>
      </w:r>
      <w:r w:rsidRPr="004A37D1">
        <w:rPr>
          <w:rFonts w:ascii="Arial" w:eastAsia="Calibri" w:hAnsi="Arial" w:cs="Arial"/>
          <w:spacing w:val="-1"/>
          <w:sz w:val="21"/>
          <w:szCs w:val="21"/>
          <w:lang w:val="en-US"/>
        </w:rPr>
        <w:t>s</w:t>
      </w:r>
      <w:r w:rsidRPr="004A37D1">
        <w:rPr>
          <w:rFonts w:ascii="Arial" w:eastAsia="Calibri" w:hAnsi="Arial" w:cs="Arial"/>
          <w:spacing w:val="-2"/>
          <w:sz w:val="21"/>
          <w:szCs w:val="21"/>
          <w:lang w:val="en-US"/>
        </w:rPr>
        <w:t>t</w:t>
      </w:r>
      <w:r w:rsidRPr="004A37D1">
        <w:rPr>
          <w:rFonts w:ascii="Arial" w:eastAsia="Calibri" w:hAnsi="Arial" w:cs="Arial"/>
          <w:spacing w:val="-1"/>
          <w:sz w:val="21"/>
          <w:szCs w:val="21"/>
          <w:lang w:val="en-US"/>
        </w:rPr>
        <w:t>anding</w:t>
      </w:r>
      <w:r w:rsidRPr="004A37D1">
        <w:rPr>
          <w:rFonts w:ascii="Arial" w:eastAsia="Calibri" w:hAnsi="Arial" w:cs="Arial"/>
          <w:spacing w:val="-19"/>
          <w:sz w:val="21"/>
          <w:szCs w:val="21"/>
          <w:lang w:val="en-US"/>
        </w:rPr>
        <w:t xml:space="preserve"> </w:t>
      </w:r>
      <w:r w:rsidRPr="004A37D1">
        <w:rPr>
          <w:rFonts w:ascii="Arial" w:eastAsia="Calibri" w:hAnsi="Arial" w:cs="Arial"/>
          <w:spacing w:val="-2"/>
          <w:sz w:val="21"/>
          <w:szCs w:val="21"/>
          <w:lang w:val="en-US"/>
        </w:rPr>
        <w:t>for</w:t>
      </w:r>
      <w:r w:rsidRPr="004A37D1">
        <w:rPr>
          <w:rFonts w:ascii="Arial" w:eastAsia="Calibri" w:hAnsi="Arial" w:cs="Arial"/>
          <w:spacing w:val="-20"/>
          <w:sz w:val="21"/>
          <w:szCs w:val="21"/>
          <w:lang w:val="en-US"/>
        </w:rPr>
        <w:t xml:space="preserve"> </w:t>
      </w:r>
      <w:r w:rsidRPr="004A37D1">
        <w:rPr>
          <w:rFonts w:ascii="Arial" w:eastAsia="Calibri" w:hAnsi="Arial" w:cs="Arial"/>
          <w:sz w:val="21"/>
          <w:szCs w:val="21"/>
          <w:lang w:val="en-US"/>
        </w:rPr>
        <w:t>the</w:t>
      </w:r>
      <w:r w:rsidRPr="004A37D1">
        <w:rPr>
          <w:rFonts w:ascii="Arial" w:eastAsia="Calibri" w:hAnsi="Arial" w:cs="Arial"/>
          <w:spacing w:val="-20"/>
          <w:sz w:val="21"/>
          <w:szCs w:val="21"/>
          <w:lang w:val="en-US"/>
        </w:rPr>
        <w:t xml:space="preserve"> </w:t>
      </w:r>
      <w:r w:rsidRPr="004A37D1">
        <w:rPr>
          <w:rFonts w:ascii="Arial" w:eastAsia="Calibri" w:hAnsi="Arial" w:cs="Arial"/>
          <w:spacing w:val="-2"/>
          <w:sz w:val="21"/>
          <w:szCs w:val="21"/>
          <w:lang w:val="en-US"/>
        </w:rPr>
        <w:t>pr</w:t>
      </w:r>
      <w:r w:rsidRPr="004A37D1">
        <w:rPr>
          <w:rFonts w:ascii="Arial" w:eastAsia="Calibri" w:hAnsi="Arial" w:cs="Arial"/>
          <w:spacing w:val="-1"/>
          <w:sz w:val="21"/>
          <w:szCs w:val="21"/>
          <w:lang w:val="en-US"/>
        </w:rPr>
        <w:t>o</w:t>
      </w:r>
      <w:r w:rsidRPr="004A37D1">
        <w:rPr>
          <w:rFonts w:ascii="Arial" w:eastAsia="Calibri" w:hAnsi="Arial" w:cs="Arial"/>
          <w:spacing w:val="-2"/>
          <w:sz w:val="21"/>
          <w:szCs w:val="21"/>
          <w:lang w:val="en-US"/>
        </w:rPr>
        <w:t>v</w:t>
      </w:r>
      <w:r w:rsidRPr="004A37D1">
        <w:rPr>
          <w:rFonts w:ascii="Arial" w:eastAsia="Calibri" w:hAnsi="Arial" w:cs="Arial"/>
          <w:spacing w:val="-1"/>
          <w:sz w:val="21"/>
          <w:szCs w:val="21"/>
          <w:lang w:val="en-US"/>
        </w:rPr>
        <w:t>ision</w:t>
      </w:r>
      <w:r w:rsidRPr="004A37D1">
        <w:rPr>
          <w:rFonts w:ascii="Arial" w:eastAsia="Calibri" w:hAnsi="Arial" w:cs="Arial"/>
          <w:spacing w:val="-19"/>
          <w:sz w:val="21"/>
          <w:szCs w:val="21"/>
          <w:lang w:val="en-US"/>
        </w:rPr>
        <w:t xml:space="preserve"> </w:t>
      </w:r>
      <w:r w:rsidRPr="004A37D1">
        <w:rPr>
          <w:rFonts w:ascii="Arial" w:eastAsia="Calibri" w:hAnsi="Arial" w:cs="Arial"/>
          <w:sz w:val="21"/>
          <w:szCs w:val="21"/>
          <w:lang w:val="en-US"/>
        </w:rPr>
        <w:t>of</w:t>
      </w:r>
      <w:r w:rsidRPr="004A37D1">
        <w:rPr>
          <w:rFonts w:ascii="Arial" w:eastAsia="Calibri" w:hAnsi="Arial" w:cs="Arial"/>
          <w:spacing w:val="-21"/>
          <w:sz w:val="21"/>
          <w:szCs w:val="21"/>
          <w:lang w:val="en-US"/>
        </w:rPr>
        <w:t xml:space="preserve"> </w:t>
      </w:r>
      <w:r w:rsidRPr="004A37D1">
        <w:rPr>
          <w:rFonts w:ascii="Arial" w:eastAsia="Calibri" w:hAnsi="Arial" w:cs="Arial"/>
          <w:spacing w:val="-1"/>
          <w:sz w:val="21"/>
          <w:szCs w:val="21"/>
          <w:lang w:val="en-US"/>
        </w:rPr>
        <w:t>c</w:t>
      </w:r>
      <w:r w:rsidRPr="004A37D1">
        <w:rPr>
          <w:rFonts w:ascii="Arial" w:eastAsia="Calibri" w:hAnsi="Arial" w:cs="Arial"/>
          <w:spacing w:val="-2"/>
          <w:sz w:val="21"/>
          <w:szCs w:val="21"/>
          <w:lang w:val="en-US"/>
        </w:rPr>
        <w:t xml:space="preserve">orporate </w:t>
      </w:r>
      <w:r w:rsidRPr="004A37D1">
        <w:rPr>
          <w:rFonts w:ascii="Arial" w:eastAsia="Calibri" w:hAnsi="Arial" w:cs="Arial"/>
          <w:spacing w:val="-1"/>
          <w:sz w:val="21"/>
          <w:szCs w:val="21"/>
          <w:lang w:val="en-US"/>
        </w:rPr>
        <w:t>ser</w:t>
      </w:r>
      <w:r w:rsidRPr="004A37D1">
        <w:rPr>
          <w:rFonts w:ascii="Arial" w:eastAsia="Calibri" w:hAnsi="Arial" w:cs="Arial"/>
          <w:spacing w:val="-2"/>
          <w:sz w:val="21"/>
          <w:szCs w:val="21"/>
          <w:lang w:val="en-US"/>
        </w:rPr>
        <w:t>v</w:t>
      </w:r>
      <w:r w:rsidRPr="004A37D1">
        <w:rPr>
          <w:rFonts w:ascii="Arial" w:eastAsia="Calibri" w:hAnsi="Arial" w:cs="Arial"/>
          <w:spacing w:val="-1"/>
          <w:sz w:val="21"/>
          <w:szCs w:val="21"/>
          <w:lang w:val="en-US"/>
        </w:rPr>
        <w:t>ic</w:t>
      </w:r>
      <w:r w:rsidRPr="004A37D1">
        <w:rPr>
          <w:rFonts w:ascii="Arial" w:eastAsia="Calibri" w:hAnsi="Arial" w:cs="Arial"/>
          <w:spacing w:val="-2"/>
          <w:sz w:val="21"/>
          <w:szCs w:val="21"/>
          <w:lang w:val="en-US"/>
        </w:rPr>
        <w:t>e</w:t>
      </w:r>
      <w:r w:rsidRPr="004A37D1">
        <w:rPr>
          <w:rFonts w:ascii="Arial" w:eastAsia="Calibri" w:hAnsi="Arial" w:cs="Arial"/>
          <w:spacing w:val="-1"/>
          <w:sz w:val="21"/>
          <w:szCs w:val="21"/>
          <w:lang w:val="en-US"/>
        </w:rPr>
        <w:t>s.</w:t>
      </w:r>
    </w:p>
    <w:p w14:paraId="5D45EB52" w14:textId="77777777" w:rsidR="004A37D1" w:rsidRPr="004A37D1" w:rsidRDefault="004A37D1" w:rsidP="004A37D1">
      <w:pPr>
        <w:spacing w:after="200" w:line="276" w:lineRule="auto"/>
        <w:rPr>
          <w:rFonts w:ascii="Arial" w:eastAsia="Calibri" w:hAnsi="Arial" w:cs="Arial"/>
          <w:spacing w:val="-2"/>
          <w:sz w:val="21"/>
          <w:szCs w:val="21"/>
          <w:lang w:val="en-US"/>
        </w:rPr>
      </w:pPr>
      <w:r w:rsidRPr="004A37D1">
        <w:rPr>
          <w:rFonts w:ascii="Arial" w:eastAsia="Calibri" w:hAnsi="Arial" w:cs="Arial"/>
          <w:sz w:val="21"/>
          <w:szCs w:val="21"/>
          <w:lang w:val="en-US"/>
        </w:rPr>
        <w:t>The</w:t>
      </w:r>
      <w:r w:rsidRPr="004A37D1">
        <w:rPr>
          <w:rFonts w:ascii="Arial" w:eastAsia="Calibri" w:hAnsi="Arial" w:cs="Arial"/>
          <w:spacing w:val="-23"/>
          <w:sz w:val="21"/>
          <w:szCs w:val="21"/>
          <w:lang w:val="en-US"/>
        </w:rPr>
        <w:t xml:space="preserve"> </w:t>
      </w:r>
      <w:r w:rsidRPr="004A37D1">
        <w:rPr>
          <w:rFonts w:ascii="Arial" w:eastAsia="Calibri" w:hAnsi="Arial" w:cs="Arial"/>
          <w:spacing w:val="-1"/>
          <w:sz w:val="21"/>
          <w:szCs w:val="21"/>
          <w:lang w:val="en-US"/>
        </w:rPr>
        <w:t>dep</w:t>
      </w:r>
      <w:r w:rsidRPr="004A37D1">
        <w:rPr>
          <w:rFonts w:ascii="Arial" w:eastAsia="Calibri" w:hAnsi="Arial" w:cs="Arial"/>
          <w:spacing w:val="-2"/>
          <w:sz w:val="21"/>
          <w:szCs w:val="21"/>
          <w:lang w:val="en-US"/>
        </w:rPr>
        <w:t>artment</w:t>
      </w:r>
      <w:r w:rsidRPr="004A37D1">
        <w:rPr>
          <w:rFonts w:ascii="Arial" w:eastAsia="Calibri" w:hAnsi="Arial" w:cs="Arial"/>
          <w:spacing w:val="-24"/>
          <w:sz w:val="21"/>
          <w:szCs w:val="21"/>
          <w:lang w:val="en-US"/>
        </w:rPr>
        <w:t xml:space="preserve"> </w:t>
      </w:r>
      <w:r w:rsidRPr="004A37D1">
        <w:rPr>
          <w:rFonts w:ascii="Arial" w:eastAsia="Calibri" w:hAnsi="Arial" w:cs="Arial"/>
          <w:sz w:val="21"/>
          <w:szCs w:val="21"/>
          <w:lang w:val="en-US"/>
        </w:rPr>
        <w:t>meets</w:t>
      </w:r>
      <w:r w:rsidRPr="004A37D1">
        <w:rPr>
          <w:rFonts w:ascii="Arial" w:eastAsia="Calibri" w:hAnsi="Arial" w:cs="Arial"/>
          <w:spacing w:val="-23"/>
          <w:sz w:val="21"/>
          <w:szCs w:val="21"/>
          <w:lang w:val="en-US"/>
        </w:rPr>
        <w:t xml:space="preserve"> </w:t>
      </w:r>
      <w:r w:rsidRPr="004A37D1">
        <w:rPr>
          <w:rFonts w:ascii="Arial" w:eastAsia="Calibri" w:hAnsi="Arial" w:cs="Arial"/>
          <w:sz w:val="21"/>
          <w:szCs w:val="21"/>
          <w:lang w:val="en-US"/>
        </w:rPr>
        <w:t>the</w:t>
      </w:r>
      <w:r w:rsidRPr="004A37D1">
        <w:rPr>
          <w:rFonts w:ascii="Arial" w:eastAsia="Calibri" w:hAnsi="Arial" w:cs="Arial"/>
          <w:spacing w:val="-23"/>
          <w:sz w:val="21"/>
          <w:szCs w:val="21"/>
          <w:lang w:val="en-US"/>
        </w:rPr>
        <w:t xml:space="preserve"> </w:t>
      </w:r>
      <w:r w:rsidRPr="004A37D1">
        <w:rPr>
          <w:rFonts w:ascii="Arial" w:eastAsia="Calibri" w:hAnsi="Arial" w:cs="Arial"/>
          <w:spacing w:val="-1"/>
          <w:sz w:val="21"/>
          <w:szCs w:val="21"/>
          <w:lang w:val="en-US"/>
        </w:rPr>
        <w:t>accou</w:t>
      </w:r>
      <w:r w:rsidRPr="004A37D1">
        <w:rPr>
          <w:rFonts w:ascii="Arial" w:eastAsia="Calibri" w:hAnsi="Arial" w:cs="Arial"/>
          <w:spacing w:val="-2"/>
          <w:sz w:val="21"/>
          <w:szCs w:val="21"/>
          <w:lang w:val="en-US"/>
        </w:rPr>
        <w:t>nt</w:t>
      </w:r>
      <w:r w:rsidRPr="004A37D1">
        <w:rPr>
          <w:rFonts w:ascii="Arial" w:eastAsia="Calibri" w:hAnsi="Arial" w:cs="Arial"/>
          <w:spacing w:val="-1"/>
          <w:sz w:val="21"/>
          <w:szCs w:val="21"/>
          <w:lang w:val="en-US"/>
        </w:rPr>
        <w:t>abi</w:t>
      </w:r>
      <w:r w:rsidRPr="004A37D1">
        <w:rPr>
          <w:rFonts w:ascii="Arial" w:eastAsia="Calibri" w:hAnsi="Arial" w:cs="Arial"/>
          <w:spacing w:val="-2"/>
          <w:sz w:val="21"/>
          <w:szCs w:val="21"/>
          <w:lang w:val="en-US"/>
        </w:rPr>
        <w:t>lity</w:t>
      </w:r>
      <w:r w:rsidRPr="004A37D1">
        <w:rPr>
          <w:rFonts w:ascii="Arial" w:eastAsia="Calibri" w:hAnsi="Arial" w:cs="Arial"/>
          <w:spacing w:val="-23"/>
          <w:sz w:val="21"/>
          <w:szCs w:val="21"/>
          <w:lang w:val="en-US"/>
        </w:rPr>
        <w:t xml:space="preserve"> </w:t>
      </w:r>
      <w:r w:rsidRPr="004A37D1">
        <w:rPr>
          <w:rFonts w:ascii="Arial" w:eastAsia="Calibri" w:hAnsi="Arial" w:cs="Arial"/>
          <w:sz w:val="21"/>
          <w:szCs w:val="21"/>
          <w:lang w:val="en-US"/>
        </w:rPr>
        <w:t>requirements</w:t>
      </w:r>
      <w:r w:rsidRPr="004A37D1">
        <w:rPr>
          <w:rFonts w:ascii="Arial" w:eastAsia="Calibri" w:hAnsi="Arial" w:cs="Arial"/>
          <w:spacing w:val="-24"/>
          <w:sz w:val="21"/>
          <w:szCs w:val="21"/>
          <w:lang w:val="en-US"/>
        </w:rPr>
        <w:t xml:space="preserve"> </w:t>
      </w:r>
      <w:r w:rsidRPr="004A37D1">
        <w:rPr>
          <w:rFonts w:ascii="Arial" w:eastAsia="Calibri" w:hAnsi="Arial" w:cs="Arial"/>
          <w:sz w:val="21"/>
          <w:szCs w:val="21"/>
          <w:lang w:val="en-US"/>
        </w:rPr>
        <w:t>of</w:t>
      </w:r>
      <w:r w:rsidRPr="004A37D1">
        <w:rPr>
          <w:rFonts w:ascii="Arial" w:eastAsia="Calibri" w:hAnsi="Arial" w:cs="Arial"/>
          <w:spacing w:val="-23"/>
          <w:sz w:val="21"/>
          <w:szCs w:val="21"/>
          <w:lang w:val="en-US"/>
        </w:rPr>
        <w:t xml:space="preserve"> </w:t>
      </w:r>
      <w:r w:rsidRPr="004A37D1">
        <w:rPr>
          <w:rFonts w:ascii="Arial" w:eastAsia="Calibri" w:hAnsi="Arial" w:cs="Arial"/>
          <w:sz w:val="21"/>
          <w:szCs w:val="21"/>
          <w:lang w:val="en-US"/>
        </w:rPr>
        <w:t>the</w:t>
      </w:r>
      <w:r w:rsidRPr="004A37D1">
        <w:rPr>
          <w:rFonts w:ascii="Arial" w:eastAsia="Calibri" w:hAnsi="Arial" w:cs="Arial"/>
          <w:spacing w:val="21"/>
          <w:w w:val="95"/>
          <w:sz w:val="21"/>
          <w:szCs w:val="21"/>
          <w:lang w:val="en-US"/>
        </w:rPr>
        <w:t xml:space="preserve"> </w:t>
      </w:r>
      <w:r w:rsidRPr="004A37D1">
        <w:rPr>
          <w:rFonts w:ascii="Arial" w:eastAsia="Calibri" w:hAnsi="Arial" w:cs="Arial"/>
          <w:spacing w:val="-2"/>
          <w:sz w:val="21"/>
          <w:szCs w:val="21"/>
          <w:lang w:val="en-US"/>
        </w:rPr>
        <w:t>Queen</w:t>
      </w:r>
      <w:r w:rsidRPr="004A37D1">
        <w:rPr>
          <w:rFonts w:ascii="Arial" w:eastAsia="Calibri" w:hAnsi="Arial" w:cs="Arial"/>
          <w:spacing w:val="-1"/>
          <w:sz w:val="21"/>
          <w:szCs w:val="21"/>
          <w:lang w:val="en-US"/>
        </w:rPr>
        <w:t>sland</w:t>
      </w:r>
      <w:r w:rsidRPr="004A37D1">
        <w:rPr>
          <w:rFonts w:ascii="Arial" w:eastAsia="Calibri" w:hAnsi="Arial" w:cs="Arial"/>
          <w:spacing w:val="-5"/>
          <w:sz w:val="21"/>
          <w:szCs w:val="21"/>
          <w:lang w:val="en-US"/>
        </w:rPr>
        <w:t xml:space="preserve"> </w:t>
      </w:r>
      <w:r w:rsidRPr="004A37D1">
        <w:rPr>
          <w:rFonts w:ascii="Arial" w:eastAsia="Calibri" w:hAnsi="Arial" w:cs="Arial"/>
          <w:i/>
          <w:spacing w:val="-1"/>
          <w:sz w:val="21"/>
          <w:szCs w:val="21"/>
          <w:lang w:val="en-US"/>
        </w:rPr>
        <w:t>Public</w:t>
      </w:r>
      <w:r w:rsidRPr="004A37D1">
        <w:rPr>
          <w:rFonts w:ascii="Arial" w:eastAsia="Calibri" w:hAnsi="Arial" w:cs="Arial"/>
          <w:i/>
          <w:spacing w:val="-4"/>
          <w:sz w:val="21"/>
          <w:szCs w:val="21"/>
          <w:lang w:val="en-US"/>
        </w:rPr>
        <w:t xml:space="preserve"> </w:t>
      </w:r>
      <w:r w:rsidRPr="004A37D1">
        <w:rPr>
          <w:rFonts w:ascii="Arial" w:eastAsia="Calibri" w:hAnsi="Arial" w:cs="Arial"/>
          <w:i/>
          <w:spacing w:val="-2"/>
          <w:sz w:val="21"/>
          <w:szCs w:val="21"/>
          <w:lang w:val="en-US"/>
        </w:rPr>
        <w:t>Rec</w:t>
      </w:r>
      <w:r w:rsidRPr="004A37D1">
        <w:rPr>
          <w:rFonts w:ascii="Arial" w:eastAsia="Calibri" w:hAnsi="Arial" w:cs="Arial"/>
          <w:i/>
          <w:spacing w:val="-1"/>
          <w:sz w:val="21"/>
          <w:szCs w:val="21"/>
          <w:lang w:val="en-US"/>
        </w:rPr>
        <w:t>ords</w:t>
      </w:r>
      <w:r w:rsidRPr="004A37D1">
        <w:rPr>
          <w:rFonts w:ascii="Arial" w:eastAsia="Calibri" w:hAnsi="Arial" w:cs="Arial"/>
          <w:i/>
          <w:spacing w:val="-5"/>
          <w:sz w:val="21"/>
          <w:szCs w:val="21"/>
          <w:lang w:val="en-US"/>
        </w:rPr>
        <w:t xml:space="preserve"> </w:t>
      </w:r>
      <w:r w:rsidRPr="004A37D1">
        <w:rPr>
          <w:rFonts w:ascii="Arial" w:eastAsia="Calibri" w:hAnsi="Arial" w:cs="Arial"/>
          <w:i/>
          <w:sz w:val="21"/>
          <w:szCs w:val="21"/>
          <w:lang w:val="en-US"/>
        </w:rPr>
        <w:t>Act</w:t>
      </w:r>
      <w:r w:rsidRPr="004A37D1">
        <w:rPr>
          <w:rFonts w:ascii="Arial" w:eastAsia="Calibri" w:hAnsi="Arial" w:cs="Arial"/>
          <w:i/>
          <w:spacing w:val="-5"/>
          <w:sz w:val="21"/>
          <w:szCs w:val="21"/>
          <w:lang w:val="en-US"/>
        </w:rPr>
        <w:t xml:space="preserve"> </w:t>
      </w:r>
      <w:r w:rsidRPr="004A37D1">
        <w:rPr>
          <w:rFonts w:ascii="Arial" w:eastAsia="Calibri" w:hAnsi="Arial" w:cs="Arial"/>
          <w:i/>
          <w:spacing w:val="-2"/>
          <w:sz w:val="21"/>
          <w:szCs w:val="21"/>
          <w:lang w:val="en-US"/>
        </w:rPr>
        <w:t>2002</w:t>
      </w:r>
      <w:r w:rsidRPr="004A37D1">
        <w:rPr>
          <w:rFonts w:ascii="Arial" w:eastAsia="Calibri" w:hAnsi="Arial" w:cs="Arial"/>
          <w:i/>
          <w:spacing w:val="-3"/>
          <w:sz w:val="21"/>
          <w:szCs w:val="21"/>
          <w:lang w:val="en-US"/>
        </w:rPr>
        <w:t xml:space="preserve"> </w:t>
      </w:r>
      <w:r w:rsidRPr="004A37D1">
        <w:rPr>
          <w:rFonts w:ascii="Arial" w:eastAsia="Calibri" w:hAnsi="Arial" w:cs="Arial"/>
          <w:sz w:val="21"/>
          <w:szCs w:val="21"/>
          <w:lang w:val="en-US"/>
        </w:rPr>
        <w:t>and</w:t>
      </w:r>
      <w:r w:rsidRPr="004A37D1">
        <w:rPr>
          <w:rFonts w:ascii="Arial" w:eastAsia="Calibri" w:hAnsi="Arial" w:cs="Arial"/>
          <w:spacing w:val="-4"/>
          <w:sz w:val="21"/>
          <w:szCs w:val="21"/>
          <w:lang w:val="en-US"/>
        </w:rPr>
        <w:t xml:space="preserve"> </w:t>
      </w:r>
      <w:r w:rsidRPr="004A37D1">
        <w:rPr>
          <w:rFonts w:ascii="Arial" w:eastAsia="Calibri" w:hAnsi="Arial" w:cs="Arial"/>
          <w:spacing w:val="-1"/>
          <w:sz w:val="21"/>
          <w:szCs w:val="21"/>
          <w:lang w:val="en-US"/>
        </w:rPr>
        <w:t>complies</w:t>
      </w:r>
      <w:r w:rsidRPr="004A37D1">
        <w:rPr>
          <w:rFonts w:ascii="Arial" w:eastAsia="Calibri" w:hAnsi="Arial" w:cs="Arial"/>
          <w:spacing w:val="-4"/>
          <w:sz w:val="21"/>
          <w:szCs w:val="21"/>
          <w:lang w:val="en-US"/>
        </w:rPr>
        <w:t xml:space="preserve"> </w:t>
      </w:r>
      <w:r w:rsidRPr="004A37D1">
        <w:rPr>
          <w:rFonts w:ascii="Arial" w:eastAsia="Calibri" w:hAnsi="Arial" w:cs="Arial"/>
          <w:spacing w:val="-2"/>
          <w:sz w:val="21"/>
          <w:szCs w:val="21"/>
          <w:lang w:val="en-US"/>
        </w:rPr>
        <w:t xml:space="preserve">with </w:t>
      </w:r>
      <w:r w:rsidRPr="004A37D1">
        <w:rPr>
          <w:rFonts w:ascii="Arial" w:eastAsia="Calibri" w:hAnsi="Arial" w:cs="Arial"/>
          <w:sz w:val="21"/>
          <w:szCs w:val="21"/>
          <w:lang w:val="en-US"/>
        </w:rPr>
        <w:t>the</w:t>
      </w:r>
      <w:r w:rsidRPr="004A37D1">
        <w:rPr>
          <w:rFonts w:ascii="Arial" w:eastAsia="Calibri" w:hAnsi="Arial" w:cs="Arial"/>
          <w:spacing w:val="23"/>
          <w:w w:val="95"/>
          <w:sz w:val="21"/>
          <w:szCs w:val="21"/>
          <w:lang w:val="en-US"/>
        </w:rPr>
        <w:t xml:space="preserve"> </w:t>
      </w:r>
      <w:r w:rsidRPr="004A37D1">
        <w:rPr>
          <w:rFonts w:ascii="Arial" w:eastAsia="Calibri" w:hAnsi="Arial" w:cs="Arial"/>
          <w:spacing w:val="-2"/>
          <w:sz w:val="21"/>
          <w:szCs w:val="21"/>
          <w:lang w:val="en-US"/>
        </w:rPr>
        <w:t>Gener</w:t>
      </w:r>
      <w:r w:rsidRPr="004A37D1">
        <w:rPr>
          <w:rFonts w:ascii="Arial" w:eastAsia="Calibri" w:hAnsi="Arial" w:cs="Arial"/>
          <w:spacing w:val="-1"/>
          <w:sz w:val="21"/>
          <w:szCs w:val="21"/>
          <w:lang w:val="en-US"/>
        </w:rPr>
        <w:t>al</w:t>
      </w:r>
      <w:r w:rsidRPr="004A37D1">
        <w:rPr>
          <w:rFonts w:ascii="Arial" w:eastAsia="Calibri" w:hAnsi="Arial" w:cs="Arial"/>
          <w:spacing w:val="-10"/>
          <w:sz w:val="21"/>
          <w:szCs w:val="21"/>
          <w:lang w:val="en-US"/>
        </w:rPr>
        <w:t xml:space="preserve"> </w:t>
      </w:r>
      <w:r w:rsidRPr="004A37D1">
        <w:rPr>
          <w:rFonts w:ascii="Arial" w:eastAsia="Calibri" w:hAnsi="Arial" w:cs="Arial"/>
          <w:sz w:val="21"/>
          <w:szCs w:val="21"/>
          <w:lang w:val="en-US"/>
        </w:rPr>
        <w:t>Retention</w:t>
      </w:r>
      <w:r w:rsidRPr="004A37D1">
        <w:rPr>
          <w:rFonts w:ascii="Arial" w:eastAsia="Calibri" w:hAnsi="Arial" w:cs="Arial"/>
          <w:spacing w:val="-9"/>
          <w:sz w:val="21"/>
          <w:szCs w:val="21"/>
          <w:lang w:val="en-US"/>
        </w:rPr>
        <w:t xml:space="preserve"> </w:t>
      </w:r>
      <w:r w:rsidRPr="004A37D1">
        <w:rPr>
          <w:rFonts w:ascii="Arial" w:eastAsia="Calibri" w:hAnsi="Arial" w:cs="Arial"/>
          <w:sz w:val="21"/>
          <w:szCs w:val="21"/>
          <w:lang w:val="en-US"/>
        </w:rPr>
        <w:t>and</w:t>
      </w:r>
      <w:r w:rsidRPr="004A37D1">
        <w:rPr>
          <w:rFonts w:ascii="Arial" w:eastAsia="Calibri" w:hAnsi="Arial" w:cs="Arial"/>
          <w:spacing w:val="-10"/>
          <w:sz w:val="21"/>
          <w:szCs w:val="21"/>
          <w:lang w:val="en-US"/>
        </w:rPr>
        <w:t xml:space="preserve"> </w:t>
      </w:r>
      <w:r w:rsidRPr="004A37D1">
        <w:rPr>
          <w:rFonts w:ascii="Arial" w:eastAsia="Calibri" w:hAnsi="Arial" w:cs="Arial"/>
          <w:spacing w:val="-1"/>
          <w:sz w:val="21"/>
          <w:szCs w:val="21"/>
          <w:lang w:val="en-US"/>
        </w:rPr>
        <w:t>Disposal</w:t>
      </w:r>
      <w:r w:rsidRPr="004A37D1">
        <w:rPr>
          <w:rFonts w:ascii="Arial" w:eastAsia="Calibri" w:hAnsi="Arial" w:cs="Arial"/>
          <w:spacing w:val="-13"/>
          <w:sz w:val="21"/>
          <w:szCs w:val="21"/>
          <w:lang w:val="en-US"/>
        </w:rPr>
        <w:t xml:space="preserve"> </w:t>
      </w:r>
      <w:r w:rsidRPr="004A37D1">
        <w:rPr>
          <w:rFonts w:ascii="Arial" w:eastAsia="Calibri" w:hAnsi="Arial" w:cs="Arial"/>
          <w:spacing w:val="-1"/>
          <w:sz w:val="21"/>
          <w:szCs w:val="21"/>
          <w:lang w:val="en-US"/>
        </w:rPr>
        <w:t>Schedul</w:t>
      </w:r>
      <w:r w:rsidRPr="004A37D1">
        <w:rPr>
          <w:rFonts w:ascii="Arial" w:eastAsia="Calibri" w:hAnsi="Arial" w:cs="Arial"/>
          <w:spacing w:val="-2"/>
          <w:sz w:val="21"/>
          <w:szCs w:val="21"/>
          <w:lang w:val="en-US"/>
        </w:rPr>
        <w:t>e</w:t>
      </w:r>
      <w:r w:rsidRPr="004A37D1">
        <w:rPr>
          <w:rFonts w:ascii="Arial" w:eastAsia="Calibri" w:hAnsi="Arial" w:cs="Arial"/>
          <w:spacing w:val="-8"/>
          <w:sz w:val="21"/>
          <w:szCs w:val="21"/>
          <w:lang w:val="en-US"/>
        </w:rPr>
        <w:t xml:space="preserve"> </w:t>
      </w:r>
      <w:r w:rsidRPr="004A37D1">
        <w:rPr>
          <w:rFonts w:ascii="Arial" w:eastAsia="Calibri" w:hAnsi="Arial" w:cs="Arial"/>
          <w:spacing w:val="-2"/>
          <w:sz w:val="21"/>
          <w:szCs w:val="21"/>
          <w:lang w:val="en-US"/>
        </w:rPr>
        <w:t>t</w:t>
      </w:r>
      <w:r w:rsidRPr="004A37D1">
        <w:rPr>
          <w:rFonts w:ascii="Arial" w:eastAsia="Calibri" w:hAnsi="Arial" w:cs="Arial"/>
          <w:spacing w:val="-1"/>
          <w:sz w:val="21"/>
          <w:szCs w:val="21"/>
          <w:lang w:val="en-US"/>
        </w:rPr>
        <w:t>o</w:t>
      </w:r>
      <w:r w:rsidRPr="004A37D1">
        <w:rPr>
          <w:rFonts w:ascii="Arial" w:eastAsia="Calibri" w:hAnsi="Arial" w:cs="Arial"/>
          <w:spacing w:val="-9"/>
          <w:sz w:val="21"/>
          <w:szCs w:val="21"/>
          <w:lang w:val="en-US"/>
        </w:rPr>
        <w:t xml:space="preserve"> </w:t>
      </w:r>
      <w:r w:rsidRPr="004A37D1">
        <w:rPr>
          <w:rFonts w:ascii="Arial" w:eastAsia="Calibri" w:hAnsi="Arial" w:cs="Arial"/>
          <w:spacing w:val="-2"/>
          <w:sz w:val="21"/>
          <w:szCs w:val="21"/>
          <w:lang w:val="en-US"/>
        </w:rPr>
        <w:t>maint</w:t>
      </w:r>
      <w:r w:rsidRPr="004A37D1">
        <w:rPr>
          <w:rFonts w:ascii="Arial" w:eastAsia="Calibri" w:hAnsi="Arial" w:cs="Arial"/>
          <w:spacing w:val="-1"/>
          <w:sz w:val="21"/>
          <w:szCs w:val="21"/>
          <w:lang w:val="en-US"/>
        </w:rPr>
        <w:t>ain</w:t>
      </w:r>
      <w:r w:rsidRPr="004A37D1">
        <w:rPr>
          <w:rFonts w:ascii="Arial" w:eastAsia="Calibri" w:hAnsi="Arial" w:cs="Arial"/>
          <w:spacing w:val="-8"/>
          <w:sz w:val="21"/>
          <w:szCs w:val="21"/>
          <w:lang w:val="en-US"/>
        </w:rPr>
        <w:t xml:space="preserve"> </w:t>
      </w:r>
      <w:r w:rsidRPr="004A37D1">
        <w:rPr>
          <w:rFonts w:ascii="Arial" w:eastAsia="Calibri" w:hAnsi="Arial" w:cs="Arial"/>
          <w:spacing w:val="-2"/>
          <w:sz w:val="21"/>
          <w:szCs w:val="21"/>
          <w:lang w:val="en-US"/>
        </w:rPr>
        <w:t>acc</w:t>
      </w:r>
      <w:r w:rsidRPr="004A37D1">
        <w:rPr>
          <w:rFonts w:ascii="Arial" w:eastAsia="Calibri" w:hAnsi="Arial" w:cs="Arial"/>
          <w:spacing w:val="-3"/>
          <w:sz w:val="21"/>
          <w:szCs w:val="21"/>
          <w:lang w:val="en-US"/>
        </w:rPr>
        <w:t xml:space="preserve">urate </w:t>
      </w:r>
      <w:r w:rsidRPr="004A37D1">
        <w:rPr>
          <w:rFonts w:ascii="Arial" w:eastAsia="Calibri" w:hAnsi="Arial" w:cs="Arial"/>
          <w:spacing w:val="-2"/>
          <w:sz w:val="21"/>
          <w:szCs w:val="21"/>
          <w:lang w:val="en-US"/>
        </w:rPr>
        <w:t>record</w:t>
      </w:r>
      <w:r w:rsidRPr="004A37D1">
        <w:rPr>
          <w:rFonts w:ascii="Arial" w:eastAsia="Calibri" w:hAnsi="Arial" w:cs="Arial"/>
          <w:spacing w:val="-1"/>
          <w:sz w:val="21"/>
          <w:szCs w:val="21"/>
          <w:lang w:val="en-US"/>
        </w:rPr>
        <w:t>s</w:t>
      </w:r>
      <w:r w:rsidRPr="004A37D1">
        <w:rPr>
          <w:rFonts w:ascii="Arial" w:eastAsia="Calibri" w:hAnsi="Arial" w:cs="Arial"/>
          <w:spacing w:val="-11"/>
          <w:sz w:val="21"/>
          <w:szCs w:val="21"/>
          <w:lang w:val="en-US"/>
        </w:rPr>
        <w:t xml:space="preserve"> </w:t>
      </w:r>
      <w:r w:rsidRPr="004A37D1">
        <w:rPr>
          <w:rFonts w:ascii="Arial" w:eastAsia="Calibri" w:hAnsi="Arial" w:cs="Arial"/>
          <w:spacing w:val="-2"/>
          <w:sz w:val="21"/>
          <w:szCs w:val="21"/>
          <w:lang w:val="en-US"/>
        </w:rPr>
        <w:t>for</w:t>
      </w:r>
      <w:r w:rsidRPr="004A37D1">
        <w:rPr>
          <w:rFonts w:ascii="Arial" w:eastAsia="Calibri" w:hAnsi="Arial" w:cs="Arial"/>
          <w:spacing w:val="-9"/>
          <w:sz w:val="21"/>
          <w:szCs w:val="21"/>
          <w:lang w:val="en-US"/>
        </w:rPr>
        <w:t xml:space="preserve"> </w:t>
      </w:r>
      <w:r w:rsidRPr="004A37D1">
        <w:rPr>
          <w:rFonts w:ascii="Arial" w:eastAsia="Calibri" w:hAnsi="Arial" w:cs="Arial"/>
          <w:spacing w:val="-1"/>
          <w:sz w:val="21"/>
          <w:szCs w:val="21"/>
          <w:lang w:val="en-US"/>
        </w:rPr>
        <w:t>accou</w:t>
      </w:r>
      <w:r w:rsidRPr="004A37D1">
        <w:rPr>
          <w:rFonts w:ascii="Arial" w:eastAsia="Calibri" w:hAnsi="Arial" w:cs="Arial"/>
          <w:spacing w:val="-2"/>
          <w:sz w:val="21"/>
          <w:szCs w:val="21"/>
          <w:lang w:val="en-US"/>
        </w:rPr>
        <w:t>nt</w:t>
      </w:r>
      <w:r w:rsidRPr="004A37D1">
        <w:rPr>
          <w:rFonts w:ascii="Arial" w:eastAsia="Calibri" w:hAnsi="Arial" w:cs="Arial"/>
          <w:spacing w:val="-1"/>
          <w:sz w:val="21"/>
          <w:szCs w:val="21"/>
          <w:lang w:val="en-US"/>
        </w:rPr>
        <w:t>abi</w:t>
      </w:r>
      <w:r w:rsidRPr="004A37D1">
        <w:rPr>
          <w:rFonts w:ascii="Arial" w:eastAsia="Calibri" w:hAnsi="Arial" w:cs="Arial"/>
          <w:spacing w:val="-2"/>
          <w:sz w:val="21"/>
          <w:szCs w:val="21"/>
          <w:lang w:val="en-US"/>
        </w:rPr>
        <w:t>lity</w:t>
      </w:r>
      <w:r w:rsidRPr="004A37D1">
        <w:rPr>
          <w:rFonts w:ascii="Arial" w:eastAsia="Calibri" w:hAnsi="Arial" w:cs="Arial"/>
          <w:spacing w:val="-11"/>
          <w:sz w:val="21"/>
          <w:szCs w:val="21"/>
          <w:lang w:val="en-US"/>
        </w:rPr>
        <w:t xml:space="preserve"> </w:t>
      </w:r>
      <w:r w:rsidRPr="004A37D1">
        <w:rPr>
          <w:rFonts w:ascii="Arial" w:eastAsia="Calibri" w:hAnsi="Arial" w:cs="Arial"/>
          <w:sz w:val="21"/>
          <w:szCs w:val="21"/>
          <w:lang w:val="en-US"/>
        </w:rPr>
        <w:t>and</w:t>
      </w:r>
      <w:r w:rsidRPr="004A37D1">
        <w:rPr>
          <w:rFonts w:ascii="Arial" w:eastAsia="Calibri" w:hAnsi="Arial" w:cs="Arial"/>
          <w:spacing w:val="-11"/>
          <w:sz w:val="21"/>
          <w:szCs w:val="21"/>
          <w:lang w:val="en-US"/>
        </w:rPr>
        <w:t xml:space="preserve"> </w:t>
      </w:r>
      <w:r w:rsidRPr="004A37D1">
        <w:rPr>
          <w:rFonts w:ascii="Arial" w:eastAsia="Calibri" w:hAnsi="Arial" w:cs="Arial"/>
          <w:spacing w:val="-1"/>
          <w:sz w:val="21"/>
          <w:szCs w:val="21"/>
          <w:lang w:val="en-US"/>
        </w:rPr>
        <w:t>business</w:t>
      </w:r>
      <w:r w:rsidRPr="004A37D1">
        <w:rPr>
          <w:rFonts w:ascii="Arial" w:eastAsia="Calibri" w:hAnsi="Arial" w:cs="Arial"/>
          <w:spacing w:val="-10"/>
          <w:sz w:val="21"/>
          <w:szCs w:val="21"/>
          <w:lang w:val="en-US"/>
        </w:rPr>
        <w:t xml:space="preserve"> </w:t>
      </w:r>
      <w:r w:rsidRPr="004A37D1">
        <w:rPr>
          <w:rFonts w:ascii="Arial" w:eastAsia="Calibri" w:hAnsi="Arial" w:cs="Arial"/>
          <w:spacing w:val="-1"/>
          <w:sz w:val="21"/>
          <w:szCs w:val="21"/>
          <w:lang w:val="en-US"/>
        </w:rPr>
        <w:t>c</w:t>
      </w:r>
      <w:r w:rsidRPr="004A37D1">
        <w:rPr>
          <w:rFonts w:ascii="Arial" w:eastAsia="Calibri" w:hAnsi="Arial" w:cs="Arial"/>
          <w:spacing w:val="-2"/>
          <w:sz w:val="21"/>
          <w:szCs w:val="21"/>
          <w:lang w:val="en-US"/>
        </w:rPr>
        <w:t xml:space="preserve">ontinuity. </w:t>
      </w:r>
    </w:p>
    <w:p w14:paraId="5E61882C" w14:textId="77777777" w:rsidR="004A37D1" w:rsidRPr="004A37D1" w:rsidRDefault="004A37D1" w:rsidP="004A37D1">
      <w:pPr>
        <w:spacing w:after="200" w:line="276" w:lineRule="auto"/>
        <w:rPr>
          <w:rFonts w:ascii="Arial" w:eastAsia="Calibri" w:hAnsi="Arial" w:cs="Arial"/>
          <w:spacing w:val="-2"/>
          <w:sz w:val="21"/>
          <w:szCs w:val="21"/>
          <w:lang w:val="en-US"/>
        </w:rPr>
      </w:pPr>
      <w:r w:rsidRPr="004A37D1">
        <w:rPr>
          <w:rFonts w:ascii="Arial" w:eastAsia="Calibri" w:hAnsi="Arial" w:cs="Arial"/>
          <w:spacing w:val="-2"/>
          <w:sz w:val="21"/>
          <w:szCs w:val="21"/>
          <w:lang w:val="en-US"/>
        </w:rPr>
        <w:t xml:space="preserve">The department has commenced the implementation of the records governance policy and is working in partnership with DCYJMA to establish the processes required to ensure successful transitioning from paper-based records to digital recordkeeping. </w:t>
      </w:r>
    </w:p>
    <w:p w14:paraId="5EB1E297" w14:textId="77777777" w:rsidR="004A37D1" w:rsidRPr="004A37D1" w:rsidRDefault="004A37D1" w:rsidP="004A37D1">
      <w:pPr>
        <w:keepNext/>
        <w:spacing w:after="120" w:line="240" w:lineRule="auto"/>
        <w:outlineLvl w:val="1"/>
        <w:rPr>
          <w:rFonts w:ascii="Arial" w:eastAsia="Calibri" w:hAnsi="Arial" w:cs="Arial"/>
          <w:bCs/>
          <w:iCs/>
          <w:sz w:val="32"/>
          <w:szCs w:val="32"/>
        </w:rPr>
      </w:pPr>
      <w:bookmarkStart w:id="25" w:name="_Toc113544404"/>
      <w:r w:rsidRPr="004A37D1">
        <w:rPr>
          <w:rFonts w:ascii="Arial" w:eastAsia="Calibri" w:hAnsi="Arial" w:cs="Arial"/>
          <w:bCs/>
          <w:iCs/>
          <w:sz w:val="32"/>
          <w:szCs w:val="32"/>
        </w:rPr>
        <w:t>Information Security attestation</w:t>
      </w:r>
      <w:bookmarkEnd w:id="25"/>
    </w:p>
    <w:p w14:paraId="694E9631" w14:textId="77777777" w:rsidR="004A37D1" w:rsidRPr="004A37D1" w:rsidRDefault="004A37D1" w:rsidP="004A37D1">
      <w:pPr>
        <w:spacing w:after="200" w:line="276"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 xml:space="preserve">During the mandatory annual Information Security reporting process, the Director-General attested to the appropriateness of the information security risk management within the department to the Queensland Government Chief Information Security Officer, noting that appropriate assurance activities have been undertaken to inform this opinion and the department’s information security risk position. </w:t>
      </w:r>
    </w:p>
    <w:p w14:paraId="06E4BFC1" w14:textId="77777777" w:rsidR="004A37D1" w:rsidRPr="004A37D1" w:rsidRDefault="004A37D1" w:rsidP="004A37D1">
      <w:pPr>
        <w:pStyle w:val="Heading2"/>
        <w:keepLines w:val="0"/>
        <w:spacing w:before="0" w:after="120" w:line="240" w:lineRule="auto"/>
        <w:rPr>
          <w:rFonts w:ascii="Arial" w:hAnsi="Arial"/>
          <w:color w:val="auto"/>
        </w:rPr>
      </w:pPr>
      <w:bookmarkStart w:id="26" w:name="_Toc78287402"/>
      <w:bookmarkStart w:id="27" w:name="_Toc78355809"/>
      <w:bookmarkStart w:id="28" w:name="_Toc113544405"/>
      <w:r w:rsidRPr="004A37D1">
        <w:rPr>
          <w:rFonts w:ascii="Arial" w:hAnsi="Arial"/>
          <w:color w:val="auto"/>
        </w:rPr>
        <w:t>Internal Audit</w:t>
      </w:r>
      <w:bookmarkEnd w:id="26"/>
      <w:bookmarkEnd w:id="27"/>
      <w:bookmarkEnd w:id="28"/>
    </w:p>
    <w:p w14:paraId="109CFC73" w14:textId="77777777" w:rsidR="004A37D1" w:rsidRPr="004A37D1" w:rsidRDefault="004A37D1" w:rsidP="004A37D1">
      <w:pPr>
        <w:spacing w:after="200" w:line="276" w:lineRule="auto"/>
        <w:rPr>
          <w:rFonts w:ascii="Arial" w:eastAsia="Calibri" w:hAnsi="Arial" w:cs="Arial"/>
          <w:sz w:val="21"/>
          <w:szCs w:val="21"/>
          <w:lang w:val="en-US" w:eastAsia="en-AU"/>
        </w:rPr>
      </w:pPr>
      <w:bookmarkStart w:id="29" w:name="_Toc78287401"/>
      <w:bookmarkStart w:id="30" w:name="_Toc78355808"/>
      <w:r w:rsidRPr="004A37D1">
        <w:rPr>
          <w:rFonts w:ascii="Arial" w:eastAsia="Calibri" w:hAnsi="Arial" w:cs="Arial"/>
          <w:sz w:val="21"/>
          <w:szCs w:val="21"/>
          <w:lang w:val="en-US" w:eastAsia="en-AU"/>
        </w:rPr>
        <w:t xml:space="preserve">Internal Audit provides an independent and objective assurance and advisory service designed to add value and improve the operations of the department. </w:t>
      </w:r>
    </w:p>
    <w:p w14:paraId="718D7721" w14:textId="77777777" w:rsidR="004A37D1" w:rsidRPr="004A37D1" w:rsidRDefault="004A37D1" w:rsidP="004A37D1">
      <w:pPr>
        <w:spacing w:after="200" w:line="276" w:lineRule="auto"/>
        <w:rPr>
          <w:rFonts w:ascii="Arial" w:eastAsia="Calibri" w:hAnsi="Arial" w:cs="Arial"/>
          <w:sz w:val="21"/>
          <w:szCs w:val="21"/>
          <w:lang w:val="en-US" w:eastAsia="en-AU"/>
        </w:rPr>
      </w:pPr>
      <w:r w:rsidRPr="004A37D1">
        <w:rPr>
          <w:rFonts w:ascii="Arial" w:eastAsia="Calibri" w:hAnsi="Arial" w:cs="Arial"/>
          <w:sz w:val="21"/>
          <w:szCs w:val="21"/>
          <w:lang w:val="en-US" w:eastAsia="en-AU"/>
        </w:rPr>
        <w:t>The work of the internal audit function is performed in accordance with the Strategic Internal Audit Plan, developed in consultation with departmental senior executives and approved by the Director-General with a focus on risk exposures and independent assurance needs. The Internal Audit Charter defines the functions’ responsibilities and is consistent with relevant legislation and international internal auditing standards.</w:t>
      </w:r>
    </w:p>
    <w:p w14:paraId="5B202566" w14:textId="77777777" w:rsidR="004A37D1" w:rsidRPr="004A37D1" w:rsidRDefault="004A37D1" w:rsidP="004A37D1">
      <w:pPr>
        <w:spacing w:after="120" w:line="240" w:lineRule="auto"/>
        <w:rPr>
          <w:rFonts w:ascii="Arial" w:eastAsia="Calibri" w:hAnsi="Arial" w:cs="Arial"/>
          <w:sz w:val="21"/>
          <w:szCs w:val="21"/>
          <w:lang w:val="en-US" w:eastAsia="en-AU"/>
        </w:rPr>
      </w:pPr>
      <w:r w:rsidRPr="004A37D1">
        <w:rPr>
          <w:rFonts w:ascii="Arial" w:eastAsia="Calibri" w:hAnsi="Arial" w:cs="Arial"/>
          <w:sz w:val="21"/>
          <w:szCs w:val="21"/>
          <w:lang w:val="en-US"/>
        </w:rPr>
        <w:t xml:space="preserve"> </w:t>
      </w:r>
      <w:r w:rsidRPr="004A37D1">
        <w:rPr>
          <w:rFonts w:ascii="Arial" w:eastAsia="Calibri" w:hAnsi="Arial" w:cs="Arial"/>
          <w:sz w:val="21"/>
          <w:szCs w:val="21"/>
          <w:lang w:val="en-US" w:eastAsia="en-AU"/>
        </w:rPr>
        <w:t>For the internal audit reviews scheduled within the 2021–2022 Strategic Internal Audit Plan:</w:t>
      </w:r>
    </w:p>
    <w:p w14:paraId="7B478FFF" w14:textId="77777777" w:rsidR="004A37D1" w:rsidRPr="004A37D1" w:rsidRDefault="004A37D1" w:rsidP="007054F2">
      <w:pPr>
        <w:numPr>
          <w:ilvl w:val="0"/>
          <w:numId w:val="14"/>
        </w:numPr>
        <w:spacing w:after="120" w:line="240" w:lineRule="auto"/>
        <w:contextualSpacing/>
        <w:rPr>
          <w:rFonts w:ascii="Arial" w:eastAsia="Calibri" w:hAnsi="Arial" w:cs="Arial"/>
          <w:sz w:val="21"/>
          <w:szCs w:val="21"/>
          <w:lang w:val="en-US" w:eastAsia="en-AU"/>
        </w:rPr>
      </w:pPr>
      <w:r w:rsidRPr="004A37D1">
        <w:rPr>
          <w:rFonts w:ascii="Arial" w:eastAsia="Calibri" w:hAnsi="Arial" w:cs="Arial"/>
          <w:sz w:val="21"/>
          <w:szCs w:val="21"/>
          <w:lang w:val="en-US" w:eastAsia="en-AU"/>
        </w:rPr>
        <w:t xml:space="preserve">eight have been </w:t>
      </w:r>
      <w:proofErr w:type="spellStart"/>
      <w:r w:rsidRPr="004A37D1">
        <w:rPr>
          <w:rFonts w:ascii="Arial" w:eastAsia="Calibri" w:hAnsi="Arial" w:cs="Arial"/>
          <w:sz w:val="21"/>
          <w:szCs w:val="21"/>
          <w:lang w:val="en-US" w:eastAsia="en-AU"/>
        </w:rPr>
        <w:t>finalised</w:t>
      </w:r>
      <w:proofErr w:type="spellEnd"/>
    </w:p>
    <w:p w14:paraId="036C1098" w14:textId="77777777" w:rsidR="004A37D1" w:rsidRPr="004A37D1" w:rsidRDefault="004A37D1" w:rsidP="007054F2">
      <w:pPr>
        <w:numPr>
          <w:ilvl w:val="0"/>
          <w:numId w:val="14"/>
        </w:numPr>
        <w:spacing w:after="120" w:line="240" w:lineRule="auto"/>
        <w:contextualSpacing/>
        <w:rPr>
          <w:rFonts w:ascii="Arial" w:eastAsia="Calibri" w:hAnsi="Arial" w:cs="Arial"/>
          <w:sz w:val="21"/>
          <w:szCs w:val="21"/>
          <w:lang w:val="en-US" w:eastAsia="en-AU"/>
        </w:rPr>
      </w:pPr>
      <w:r w:rsidRPr="004A37D1">
        <w:rPr>
          <w:rFonts w:ascii="Arial" w:eastAsia="Calibri" w:hAnsi="Arial" w:cs="Arial"/>
          <w:sz w:val="21"/>
          <w:szCs w:val="21"/>
          <w:lang w:val="en-US" w:eastAsia="en-AU"/>
        </w:rPr>
        <w:t xml:space="preserve">four are in the process of being </w:t>
      </w:r>
      <w:proofErr w:type="spellStart"/>
      <w:r w:rsidRPr="004A37D1">
        <w:rPr>
          <w:rFonts w:ascii="Arial" w:eastAsia="Calibri" w:hAnsi="Arial" w:cs="Arial"/>
          <w:sz w:val="21"/>
          <w:szCs w:val="21"/>
          <w:lang w:val="en-US" w:eastAsia="en-AU"/>
        </w:rPr>
        <w:t>finalised</w:t>
      </w:r>
      <w:proofErr w:type="spellEnd"/>
    </w:p>
    <w:p w14:paraId="63C53A82" w14:textId="77777777" w:rsidR="004A37D1" w:rsidRPr="004A37D1" w:rsidRDefault="004A37D1" w:rsidP="007054F2">
      <w:pPr>
        <w:numPr>
          <w:ilvl w:val="0"/>
          <w:numId w:val="14"/>
        </w:numPr>
        <w:spacing w:after="120" w:line="240" w:lineRule="auto"/>
        <w:contextualSpacing/>
        <w:rPr>
          <w:rFonts w:ascii="Arial" w:eastAsia="Calibri" w:hAnsi="Arial" w:cs="Arial"/>
          <w:sz w:val="21"/>
          <w:szCs w:val="21"/>
          <w:lang w:val="en-US" w:eastAsia="en-AU"/>
        </w:rPr>
      </w:pPr>
      <w:r w:rsidRPr="004A37D1">
        <w:rPr>
          <w:rFonts w:ascii="Arial" w:eastAsia="Calibri" w:hAnsi="Arial" w:cs="Arial"/>
          <w:sz w:val="21"/>
          <w:szCs w:val="21"/>
          <w:lang w:val="en-US" w:eastAsia="en-AU"/>
        </w:rPr>
        <w:t>one is currently in progress.</w:t>
      </w:r>
    </w:p>
    <w:p w14:paraId="20627C46" w14:textId="77777777" w:rsidR="004A37D1" w:rsidRPr="004A37D1" w:rsidRDefault="004A37D1" w:rsidP="004A37D1">
      <w:pPr>
        <w:spacing w:after="200" w:line="276" w:lineRule="auto"/>
        <w:rPr>
          <w:rFonts w:ascii="Arial" w:eastAsia="Calibri" w:hAnsi="Arial" w:cs="Arial"/>
          <w:bCs/>
          <w:sz w:val="21"/>
          <w:szCs w:val="21"/>
          <w:lang w:val="en-US" w:eastAsia="en-AU"/>
        </w:rPr>
      </w:pPr>
      <w:r w:rsidRPr="004A37D1">
        <w:rPr>
          <w:rFonts w:ascii="Arial" w:eastAsia="Calibri" w:hAnsi="Arial" w:cs="Arial"/>
          <w:sz w:val="21"/>
          <w:szCs w:val="21"/>
          <w:lang w:val="en-US" w:eastAsia="en-AU"/>
        </w:rPr>
        <w:t xml:space="preserve">Internal Audit also provided continual advice and assurance against ad hoc reviews as requested by management.  </w:t>
      </w:r>
    </w:p>
    <w:p w14:paraId="7D46443F" w14:textId="77777777" w:rsidR="004A37D1" w:rsidRPr="004A37D1" w:rsidRDefault="004A37D1" w:rsidP="004A37D1">
      <w:pPr>
        <w:pStyle w:val="Heading2"/>
        <w:keepLines w:val="0"/>
        <w:spacing w:before="0" w:after="120" w:line="240" w:lineRule="auto"/>
        <w:rPr>
          <w:rFonts w:ascii="Arial" w:hAnsi="Arial"/>
          <w:color w:val="auto"/>
        </w:rPr>
      </w:pPr>
      <w:bookmarkStart w:id="31" w:name="_Toc113544406"/>
      <w:r w:rsidRPr="004A37D1">
        <w:rPr>
          <w:rFonts w:ascii="Arial" w:hAnsi="Arial"/>
          <w:color w:val="auto"/>
        </w:rPr>
        <w:lastRenderedPageBreak/>
        <w:t>External scrutiny</w:t>
      </w:r>
      <w:bookmarkEnd w:id="29"/>
      <w:bookmarkEnd w:id="30"/>
      <w:bookmarkEnd w:id="31"/>
      <w:r w:rsidRPr="004A37D1">
        <w:rPr>
          <w:rFonts w:ascii="Arial" w:hAnsi="Arial"/>
          <w:color w:val="auto"/>
        </w:rPr>
        <w:t xml:space="preserve"> </w:t>
      </w:r>
    </w:p>
    <w:p w14:paraId="0BB51548" w14:textId="77777777" w:rsidR="004A37D1" w:rsidRPr="004A37D1" w:rsidRDefault="004A37D1" w:rsidP="004A37D1">
      <w:pPr>
        <w:spacing w:after="200" w:line="276" w:lineRule="auto"/>
        <w:rPr>
          <w:rFonts w:ascii="Arial" w:eastAsia="Calibri" w:hAnsi="Arial" w:cs="Arial"/>
          <w:sz w:val="21"/>
          <w:szCs w:val="21"/>
          <w:lang w:val="en-US"/>
        </w:rPr>
      </w:pPr>
      <w:bookmarkStart w:id="32" w:name="_Hlk81570174"/>
      <w:r w:rsidRPr="004A37D1">
        <w:rPr>
          <w:rFonts w:ascii="Arial" w:eastAsia="Calibri" w:hAnsi="Arial" w:cs="Arial"/>
          <w:sz w:val="21"/>
          <w:szCs w:val="21"/>
          <w:lang w:val="en-US"/>
        </w:rPr>
        <w:t>The</w:t>
      </w:r>
      <w:r w:rsidRPr="004A37D1">
        <w:rPr>
          <w:rFonts w:ascii="Arial" w:eastAsia="Calibri" w:hAnsi="Arial" w:cs="Arial"/>
          <w:spacing w:val="-18"/>
          <w:sz w:val="21"/>
          <w:szCs w:val="21"/>
          <w:lang w:val="en-US"/>
        </w:rPr>
        <w:t xml:space="preserve"> </w:t>
      </w:r>
      <w:r w:rsidRPr="004A37D1">
        <w:rPr>
          <w:rFonts w:ascii="Arial" w:eastAsia="Calibri" w:hAnsi="Arial" w:cs="Arial"/>
          <w:sz w:val="21"/>
          <w:szCs w:val="21"/>
          <w:lang w:val="en-US"/>
        </w:rPr>
        <w:t>Auditor-Gener</w:t>
      </w:r>
      <w:r w:rsidRPr="004A37D1">
        <w:rPr>
          <w:rFonts w:ascii="Arial" w:eastAsia="Calibri" w:hAnsi="Arial" w:cs="Arial"/>
          <w:spacing w:val="-1"/>
          <w:sz w:val="21"/>
          <w:szCs w:val="21"/>
          <w:lang w:val="en-US"/>
        </w:rPr>
        <w:t>al</w:t>
      </w:r>
      <w:r w:rsidRPr="004A37D1">
        <w:rPr>
          <w:rFonts w:ascii="Arial" w:eastAsia="Calibri" w:hAnsi="Arial" w:cs="Arial"/>
          <w:sz w:val="21"/>
          <w:szCs w:val="21"/>
          <w:lang w:val="en-US"/>
        </w:rPr>
        <w:t>,</w:t>
      </w:r>
      <w:r w:rsidRPr="004A37D1">
        <w:rPr>
          <w:rFonts w:ascii="Arial" w:eastAsia="Calibri" w:hAnsi="Arial" w:cs="Arial"/>
          <w:spacing w:val="-18"/>
          <w:sz w:val="21"/>
          <w:szCs w:val="21"/>
          <w:lang w:val="en-US"/>
        </w:rPr>
        <w:t xml:space="preserve"> </w:t>
      </w:r>
      <w:r w:rsidRPr="004A37D1">
        <w:rPr>
          <w:rFonts w:ascii="Arial" w:eastAsia="Calibri" w:hAnsi="Arial" w:cs="Arial"/>
          <w:spacing w:val="-1"/>
          <w:sz w:val="21"/>
          <w:szCs w:val="21"/>
          <w:lang w:val="en-US"/>
        </w:rPr>
        <w:t>sup</w:t>
      </w:r>
      <w:r w:rsidRPr="004A37D1">
        <w:rPr>
          <w:rFonts w:ascii="Arial" w:eastAsia="Calibri" w:hAnsi="Arial" w:cs="Arial"/>
          <w:sz w:val="21"/>
          <w:szCs w:val="21"/>
          <w:lang w:val="en-US"/>
        </w:rPr>
        <w:t>ported</w:t>
      </w:r>
      <w:r w:rsidRPr="004A37D1">
        <w:rPr>
          <w:rFonts w:ascii="Arial" w:eastAsia="Calibri" w:hAnsi="Arial" w:cs="Arial"/>
          <w:spacing w:val="-20"/>
          <w:sz w:val="21"/>
          <w:szCs w:val="21"/>
          <w:lang w:val="en-US"/>
        </w:rPr>
        <w:t xml:space="preserve"> </w:t>
      </w:r>
      <w:r w:rsidRPr="004A37D1">
        <w:rPr>
          <w:rFonts w:ascii="Arial" w:eastAsia="Calibri" w:hAnsi="Arial" w:cs="Arial"/>
          <w:spacing w:val="-1"/>
          <w:sz w:val="21"/>
          <w:szCs w:val="21"/>
          <w:lang w:val="en-US"/>
        </w:rPr>
        <w:t>b</w:t>
      </w:r>
      <w:r w:rsidRPr="004A37D1">
        <w:rPr>
          <w:rFonts w:ascii="Arial" w:eastAsia="Calibri" w:hAnsi="Arial" w:cs="Arial"/>
          <w:sz w:val="21"/>
          <w:szCs w:val="21"/>
          <w:lang w:val="en-US"/>
        </w:rPr>
        <w:t>y</w:t>
      </w:r>
      <w:r w:rsidRPr="004A37D1">
        <w:rPr>
          <w:rFonts w:ascii="Arial" w:eastAsia="Calibri" w:hAnsi="Arial" w:cs="Arial"/>
          <w:spacing w:val="-19"/>
          <w:sz w:val="21"/>
          <w:szCs w:val="21"/>
          <w:lang w:val="en-US"/>
        </w:rPr>
        <w:t xml:space="preserve"> </w:t>
      </w:r>
      <w:r w:rsidRPr="004A37D1">
        <w:rPr>
          <w:rFonts w:ascii="Arial" w:eastAsia="Calibri" w:hAnsi="Arial" w:cs="Arial"/>
          <w:sz w:val="21"/>
          <w:szCs w:val="21"/>
          <w:lang w:val="en-US"/>
        </w:rPr>
        <w:t>the</w:t>
      </w:r>
      <w:r w:rsidRPr="004A37D1">
        <w:rPr>
          <w:rFonts w:ascii="Arial" w:eastAsia="Calibri" w:hAnsi="Arial" w:cs="Arial"/>
          <w:spacing w:val="-18"/>
          <w:sz w:val="21"/>
          <w:szCs w:val="21"/>
          <w:lang w:val="en-US"/>
        </w:rPr>
        <w:t xml:space="preserve"> </w:t>
      </w:r>
      <w:r w:rsidRPr="004A37D1">
        <w:rPr>
          <w:rFonts w:ascii="Arial" w:eastAsia="Calibri" w:hAnsi="Arial" w:cs="Arial"/>
          <w:sz w:val="21"/>
          <w:szCs w:val="21"/>
          <w:lang w:val="en-US"/>
        </w:rPr>
        <w:t xml:space="preserve">Queensland Audit Office and in accordance with the </w:t>
      </w:r>
      <w:r w:rsidRPr="004A37D1">
        <w:rPr>
          <w:rFonts w:ascii="Arial" w:eastAsia="Calibri" w:hAnsi="Arial" w:cs="Arial"/>
          <w:i/>
          <w:iCs/>
          <w:sz w:val="21"/>
          <w:szCs w:val="21"/>
          <w:lang w:val="en-US"/>
        </w:rPr>
        <w:t>Queensland Auditor-General Act 2009</w:t>
      </w:r>
      <w:r w:rsidRPr="004A37D1">
        <w:rPr>
          <w:rFonts w:ascii="Arial" w:eastAsia="Calibri" w:hAnsi="Arial" w:cs="Arial"/>
          <w:sz w:val="21"/>
          <w:szCs w:val="21"/>
          <w:lang w:val="en-US"/>
        </w:rPr>
        <w:t>, conducts the financial and performance audits of the department</w:t>
      </w:r>
      <w:r w:rsidRPr="004A37D1">
        <w:rPr>
          <w:rFonts w:ascii="Arial" w:eastAsia="Calibri" w:hAnsi="Arial" w:cs="Arial"/>
          <w:w w:val="95"/>
          <w:sz w:val="21"/>
          <w:szCs w:val="21"/>
          <w:lang w:val="en-US"/>
        </w:rPr>
        <w:t>.</w:t>
      </w:r>
    </w:p>
    <w:p w14:paraId="3CFE3051" w14:textId="77777777" w:rsidR="004A37D1" w:rsidRPr="004A37D1" w:rsidRDefault="004A37D1" w:rsidP="004A37D1">
      <w:pPr>
        <w:spacing w:after="200" w:line="276" w:lineRule="auto"/>
        <w:rPr>
          <w:rFonts w:ascii="Arial" w:eastAsia="Calibri" w:hAnsi="Arial" w:cs="Arial"/>
          <w:sz w:val="21"/>
          <w:szCs w:val="21"/>
          <w:lang w:val="en-US"/>
        </w:rPr>
      </w:pPr>
      <w:r w:rsidRPr="004A37D1">
        <w:rPr>
          <w:rFonts w:ascii="Arial" w:eastAsia="Calibri" w:hAnsi="Arial" w:cs="Arial"/>
          <w:sz w:val="21"/>
          <w:szCs w:val="21"/>
          <w:lang w:val="en-US"/>
        </w:rPr>
        <w:t>During the reporting period, the Queensland Audit Office continued with its audit review program and progressively released its performance reports.</w:t>
      </w:r>
    </w:p>
    <w:p w14:paraId="7E906000" w14:textId="77777777" w:rsidR="004A37D1" w:rsidRPr="004A37D1" w:rsidRDefault="004A37D1" w:rsidP="004A37D1">
      <w:pPr>
        <w:spacing w:after="200" w:line="276" w:lineRule="auto"/>
        <w:rPr>
          <w:rFonts w:ascii="Arial" w:eastAsia="Calibri" w:hAnsi="Arial" w:cs="Arial"/>
          <w:sz w:val="21"/>
          <w:szCs w:val="21"/>
          <w:lang w:val="en-US"/>
        </w:rPr>
      </w:pPr>
      <w:r w:rsidRPr="004A37D1">
        <w:rPr>
          <w:rFonts w:ascii="Arial" w:eastAsia="Calibri" w:hAnsi="Arial" w:cs="Arial"/>
          <w:sz w:val="21"/>
          <w:szCs w:val="21"/>
          <w:lang w:val="en-US"/>
        </w:rPr>
        <w:t>The department provides quarterly Conduct and Performance Excellence (</w:t>
      </w:r>
      <w:proofErr w:type="spellStart"/>
      <w:r w:rsidRPr="004A37D1">
        <w:rPr>
          <w:rFonts w:ascii="Arial" w:eastAsia="Calibri" w:hAnsi="Arial" w:cs="Arial"/>
          <w:sz w:val="21"/>
          <w:szCs w:val="21"/>
          <w:lang w:val="en-US"/>
        </w:rPr>
        <w:t>CaPE</w:t>
      </w:r>
      <w:proofErr w:type="spellEnd"/>
      <w:r w:rsidRPr="004A37D1">
        <w:rPr>
          <w:rFonts w:ascii="Arial" w:eastAsia="Calibri" w:hAnsi="Arial" w:cs="Arial"/>
          <w:sz w:val="21"/>
          <w:szCs w:val="21"/>
          <w:lang w:val="en-US"/>
        </w:rPr>
        <w:t>) data to the Queensland Public Service Commission which is published on the Queensland Government website.</w:t>
      </w:r>
    </w:p>
    <w:p w14:paraId="03BFD245" w14:textId="77777777" w:rsidR="004A37D1" w:rsidRPr="004A37D1" w:rsidRDefault="004A37D1" w:rsidP="004A37D1">
      <w:pPr>
        <w:pStyle w:val="Heading2"/>
        <w:keepLines w:val="0"/>
        <w:spacing w:before="0" w:after="120" w:line="240" w:lineRule="auto"/>
        <w:rPr>
          <w:rFonts w:ascii="Arial" w:hAnsi="Arial"/>
          <w:color w:val="auto"/>
        </w:rPr>
      </w:pPr>
      <w:bookmarkStart w:id="33" w:name="_Toc113544407"/>
      <w:r w:rsidRPr="004A37D1">
        <w:rPr>
          <w:rFonts w:ascii="Arial" w:hAnsi="Arial"/>
          <w:color w:val="auto"/>
        </w:rPr>
        <w:t>Open data</w:t>
      </w:r>
      <w:bookmarkEnd w:id="33"/>
      <w:r w:rsidRPr="004A37D1">
        <w:rPr>
          <w:rFonts w:ascii="Arial" w:hAnsi="Arial"/>
          <w:color w:val="auto"/>
        </w:rPr>
        <w:t xml:space="preserve"> </w:t>
      </w:r>
    </w:p>
    <w:p w14:paraId="70F254B0" w14:textId="77777777" w:rsidR="004A37D1" w:rsidRPr="004A37D1" w:rsidRDefault="004A37D1" w:rsidP="004A37D1">
      <w:pPr>
        <w:spacing w:after="200" w:line="276" w:lineRule="auto"/>
        <w:rPr>
          <w:rFonts w:ascii="Arial" w:eastAsia="Times New Roman" w:hAnsi="Arial" w:cs="Arial"/>
          <w:sz w:val="21"/>
          <w:szCs w:val="21"/>
          <w:lang w:eastAsia="en-AU"/>
        </w:rPr>
      </w:pPr>
      <w:r w:rsidRPr="004A37D1">
        <w:rPr>
          <w:rFonts w:ascii="Arial" w:eastAsia="Times New Roman" w:hAnsi="Arial" w:cs="Arial"/>
          <w:sz w:val="21"/>
          <w:szCs w:val="21"/>
          <w:lang w:eastAsia="en-AU"/>
        </w:rPr>
        <w:t>For</w:t>
      </w:r>
      <w:r w:rsidRPr="004A37D1">
        <w:rPr>
          <w:rFonts w:ascii="Arial" w:eastAsia="Times New Roman" w:hAnsi="Arial" w:cs="Arial"/>
          <w:spacing w:val="-14"/>
          <w:sz w:val="21"/>
          <w:szCs w:val="21"/>
          <w:lang w:eastAsia="en-AU"/>
        </w:rPr>
        <w:t xml:space="preserve"> </w:t>
      </w:r>
      <w:r w:rsidRPr="004A37D1">
        <w:rPr>
          <w:rFonts w:ascii="Arial" w:eastAsia="Times New Roman" w:hAnsi="Arial" w:cs="Arial"/>
          <w:sz w:val="21"/>
          <w:szCs w:val="21"/>
          <w:lang w:eastAsia="en-AU"/>
        </w:rPr>
        <w:t>additional final reporting</w:t>
      </w:r>
      <w:r w:rsidRPr="004A37D1">
        <w:rPr>
          <w:rFonts w:ascii="Arial" w:eastAsia="Times New Roman" w:hAnsi="Arial" w:cs="Arial"/>
          <w:spacing w:val="-13"/>
          <w:sz w:val="21"/>
          <w:szCs w:val="21"/>
          <w:lang w:eastAsia="en-AU"/>
        </w:rPr>
        <w:t xml:space="preserve"> </w:t>
      </w:r>
      <w:r w:rsidRPr="004A37D1">
        <w:rPr>
          <w:rFonts w:ascii="Arial" w:eastAsia="Times New Roman" w:hAnsi="Arial" w:cs="Arial"/>
          <w:sz w:val="21"/>
          <w:szCs w:val="21"/>
          <w:lang w:eastAsia="en-AU"/>
        </w:rPr>
        <w:t>information</w:t>
      </w:r>
      <w:r w:rsidRPr="004A37D1">
        <w:rPr>
          <w:rFonts w:ascii="Arial" w:eastAsia="Times New Roman" w:hAnsi="Arial" w:cs="Arial"/>
          <w:spacing w:val="-14"/>
          <w:sz w:val="21"/>
          <w:szCs w:val="21"/>
          <w:lang w:eastAsia="en-AU"/>
        </w:rPr>
        <w:t xml:space="preserve"> </w:t>
      </w:r>
      <w:r w:rsidRPr="004A37D1">
        <w:rPr>
          <w:rFonts w:ascii="Arial" w:eastAsia="Times New Roman" w:hAnsi="Arial" w:cs="Arial"/>
          <w:sz w:val="21"/>
          <w:szCs w:val="21"/>
          <w:lang w:eastAsia="en-AU"/>
        </w:rPr>
        <w:t>rel</w:t>
      </w:r>
      <w:r w:rsidRPr="004A37D1">
        <w:rPr>
          <w:rFonts w:ascii="Arial" w:eastAsia="Times New Roman" w:hAnsi="Arial" w:cs="Arial"/>
          <w:spacing w:val="-1"/>
          <w:sz w:val="21"/>
          <w:szCs w:val="21"/>
          <w:lang w:eastAsia="en-AU"/>
        </w:rPr>
        <w:t>ated</w:t>
      </w:r>
      <w:r w:rsidRPr="004A37D1">
        <w:rPr>
          <w:rFonts w:ascii="Arial" w:eastAsia="Times New Roman" w:hAnsi="Arial" w:cs="Arial"/>
          <w:spacing w:val="-15"/>
          <w:sz w:val="21"/>
          <w:szCs w:val="21"/>
          <w:lang w:eastAsia="en-AU"/>
        </w:rPr>
        <w:t xml:space="preserve"> </w:t>
      </w:r>
      <w:r w:rsidRPr="004A37D1">
        <w:rPr>
          <w:rFonts w:ascii="Arial" w:eastAsia="Times New Roman" w:hAnsi="Arial" w:cs="Arial"/>
          <w:sz w:val="21"/>
          <w:szCs w:val="21"/>
          <w:lang w:eastAsia="en-AU"/>
        </w:rPr>
        <w:t>t</w:t>
      </w:r>
      <w:r w:rsidRPr="004A37D1">
        <w:rPr>
          <w:rFonts w:ascii="Arial" w:eastAsia="Times New Roman" w:hAnsi="Arial" w:cs="Arial"/>
          <w:spacing w:val="-1"/>
          <w:sz w:val="21"/>
          <w:szCs w:val="21"/>
          <w:lang w:eastAsia="en-AU"/>
        </w:rPr>
        <w:t>o consu</w:t>
      </w:r>
      <w:r w:rsidRPr="004A37D1">
        <w:rPr>
          <w:rFonts w:ascii="Arial" w:eastAsia="Times New Roman" w:hAnsi="Arial" w:cs="Arial"/>
          <w:sz w:val="21"/>
          <w:szCs w:val="21"/>
          <w:lang w:eastAsia="en-AU"/>
        </w:rPr>
        <w:t>lt</w:t>
      </w:r>
      <w:r w:rsidRPr="004A37D1">
        <w:rPr>
          <w:rFonts w:ascii="Arial" w:eastAsia="Times New Roman" w:hAnsi="Arial" w:cs="Arial"/>
          <w:spacing w:val="-1"/>
          <w:sz w:val="21"/>
          <w:szCs w:val="21"/>
          <w:lang w:eastAsia="en-AU"/>
        </w:rPr>
        <w:t>ancies,</w:t>
      </w:r>
      <w:r w:rsidRPr="004A37D1">
        <w:rPr>
          <w:rFonts w:ascii="Arial" w:eastAsia="Times New Roman" w:hAnsi="Arial" w:cs="Arial"/>
          <w:spacing w:val="-5"/>
          <w:sz w:val="21"/>
          <w:szCs w:val="21"/>
          <w:lang w:eastAsia="en-AU"/>
        </w:rPr>
        <w:t xml:space="preserve"> </w:t>
      </w:r>
      <w:r w:rsidRPr="004A37D1">
        <w:rPr>
          <w:rFonts w:ascii="Arial" w:eastAsia="Times New Roman" w:hAnsi="Arial" w:cs="Arial"/>
          <w:spacing w:val="-1"/>
          <w:sz w:val="21"/>
          <w:szCs w:val="21"/>
          <w:lang w:eastAsia="en-AU"/>
        </w:rPr>
        <w:t>o</w:t>
      </w:r>
      <w:r w:rsidRPr="004A37D1">
        <w:rPr>
          <w:rFonts w:ascii="Arial" w:eastAsia="Times New Roman" w:hAnsi="Arial" w:cs="Arial"/>
          <w:sz w:val="21"/>
          <w:szCs w:val="21"/>
          <w:lang w:eastAsia="en-AU"/>
        </w:rPr>
        <w:t>ver</w:t>
      </w:r>
      <w:r w:rsidRPr="004A37D1">
        <w:rPr>
          <w:rFonts w:ascii="Arial" w:eastAsia="Times New Roman" w:hAnsi="Arial" w:cs="Arial"/>
          <w:spacing w:val="-1"/>
          <w:sz w:val="21"/>
          <w:szCs w:val="21"/>
          <w:lang w:eastAsia="en-AU"/>
        </w:rPr>
        <w:t>seas</w:t>
      </w:r>
      <w:r w:rsidRPr="004A37D1">
        <w:rPr>
          <w:rFonts w:ascii="Arial" w:eastAsia="Times New Roman" w:hAnsi="Arial" w:cs="Arial"/>
          <w:spacing w:val="-5"/>
          <w:sz w:val="21"/>
          <w:szCs w:val="21"/>
          <w:lang w:eastAsia="en-AU"/>
        </w:rPr>
        <w:t xml:space="preserve"> </w:t>
      </w:r>
      <w:r w:rsidRPr="004A37D1">
        <w:rPr>
          <w:rFonts w:ascii="Arial" w:eastAsia="Times New Roman" w:hAnsi="Arial" w:cs="Arial"/>
          <w:sz w:val="21"/>
          <w:szCs w:val="21"/>
          <w:lang w:eastAsia="en-AU"/>
        </w:rPr>
        <w:t>tr</w:t>
      </w:r>
      <w:r w:rsidRPr="004A37D1">
        <w:rPr>
          <w:rFonts w:ascii="Arial" w:eastAsia="Times New Roman" w:hAnsi="Arial" w:cs="Arial"/>
          <w:spacing w:val="-1"/>
          <w:sz w:val="21"/>
          <w:szCs w:val="21"/>
          <w:lang w:eastAsia="en-AU"/>
        </w:rPr>
        <w:t>avel</w:t>
      </w:r>
      <w:r w:rsidRPr="004A37D1">
        <w:rPr>
          <w:rFonts w:ascii="Arial" w:eastAsia="Times New Roman" w:hAnsi="Arial" w:cs="Arial"/>
          <w:sz w:val="21"/>
          <w:szCs w:val="21"/>
          <w:lang w:eastAsia="en-AU"/>
        </w:rPr>
        <w:t>,</w:t>
      </w:r>
      <w:r w:rsidRPr="004A37D1">
        <w:rPr>
          <w:rFonts w:ascii="Arial" w:eastAsia="Times New Roman" w:hAnsi="Arial" w:cs="Arial"/>
          <w:spacing w:val="-5"/>
          <w:sz w:val="21"/>
          <w:szCs w:val="21"/>
          <w:lang w:eastAsia="en-AU"/>
        </w:rPr>
        <w:t xml:space="preserve"> </w:t>
      </w:r>
      <w:r w:rsidRPr="004A37D1">
        <w:rPr>
          <w:rFonts w:ascii="Arial" w:eastAsia="Times New Roman" w:hAnsi="Arial" w:cs="Arial"/>
          <w:sz w:val="21"/>
          <w:szCs w:val="21"/>
          <w:lang w:eastAsia="en-AU"/>
        </w:rPr>
        <w:t>and</w:t>
      </w:r>
      <w:r w:rsidRPr="004A37D1">
        <w:rPr>
          <w:rFonts w:ascii="Arial" w:eastAsia="Times New Roman" w:hAnsi="Arial" w:cs="Arial"/>
          <w:spacing w:val="-5"/>
          <w:sz w:val="21"/>
          <w:szCs w:val="21"/>
          <w:lang w:eastAsia="en-AU"/>
        </w:rPr>
        <w:t xml:space="preserve"> </w:t>
      </w:r>
      <w:r w:rsidRPr="004A37D1">
        <w:rPr>
          <w:rFonts w:ascii="Arial" w:eastAsia="Times New Roman" w:hAnsi="Arial" w:cs="Arial"/>
          <w:sz w:val="21"/>
          <w:szCs w:val="21"/>
          <w:lang w:eastAsia="en-AU"/>
        </w:rPr>
        <w:t>Queen</w:t>
      </w:r>
      <w:r w:rsidRPr="004A37D1">
        <w:rPr>
          <w:rFonts w:ascii="Arial" w:eastAsia="Times New Roman" w:hAnsi="Arial" w:cs="Arial"/>
          <w:spacing w:val="-1"/>
          <w:sz w:val="21"/>
          <w:szCs w:val="21"/>
          <w:lang w:eastAsia="en-AU"/>
        </w:rPr>
        <w:t>sland</w:t>
      </w:r>
      <w:r w:rsidRPr="004A37D1">
        <w:rPr>
          <w:rFonts w:ascii="Arial" w:eastAsia="Times New Roman" w:hAnsi="Arial" w:cs="Arial"/>
          <w:spacing w:val="-6"/>
          <w:sz w:val="21"/>
          <w:szCs w:val="21"/>
          <w:lang w:eastAsia="en-AU"/>
        </w:rPr>
        <w:t xml:space="preserve"> </w:t>
      </w:r>
      <w:r w:rsidRPr="004A37D1">
        <w:rPr>
          <w:rFonts w:ascii="Arial" w:eastAsia="Times New Roman" w:hAnsi="Arial" w:cs="Arial"/>
          <w:spacing w:val="-1"/>
          <w:sz w:val="21"/>
          <w:szCs w:val="21"/>
          <w:lang w:eastAsia="en-AU"/>
        </w:rPr>
        <w:t>Language</w:t>
      </w:r>
      <w:r w:rsidRPr="004A37D1">
        <w:rPr>
          <w:rFonts w:ascii="Arial" w:eastAsia="Times New Roman" w:hAnsi="Arial" w:cs="Arial"/>
          <w:spacing w:val="37"/>
          <w:w w:val="101"/>
          <w:sz w:val="21"/>
          <w:szCs w:val="21"/>
          <w:lang w:eastAsia="en-AU"/>
        </w:rPr>
        <w:t xml:space="preserve"> </w:t>
      </w:r>
      <w:r w:rsidRPr="004A37D1">
        <w:rPr>
          <w:rFonts w:ascii="Arial" w:eastAsia="Times New Roman" w:hAnsi="Arial" w:cs="Arial"/>
          <w:spacing w:val="-1"/>
          <w:sz w:val="21"/>
          <w:szCs w:val="21"/>
          <w:lang w:eastAsia="en-AU"/>
        </w:rPr>
        <w:t>Ser</w:t>
      </w:r>
      <w:r w:rsidRPr="004A37D1">
        <w:rPr>
          <w:rFonts w:ascii="Arial" w:eastAsia="Times New Roman" w:hAnsi="Arial" w:cs="Arial"/>
          <w:sz w:val="21"/>
          <w:szCs w:val="21"/>
          <w:lang w:eastAsia="en-AU"/>
        </w:rPr>
        <w:t>v</w:t>
      </w:r>
      <w:r w:rsidRPr="004A37D1">
        <w:rPr>
          <w:rFonts w:ascii="Arial" w:eastAsia="Times New Roman" w:hAnsi="Arial" w:cs="Arial"/>
          <w:spacing w:val="-1"/>
          <w:sz w:val="21"/>
          <w:szCs w:val="21"/>
          <w:lang w:eastAsia="en-AU"/>
        </w:rPr>
        <w:t>ic</w:t>
      </w:r>
      <w:r w:rsidRPr="004A37D1">
        <w:rPr>
          <w:rFonts w:ascii="Arial" w:eastAsia="Times New Roman" w:hAnsi="Arial" w:cs="Arial"/>
          <w:sz w:val="21"/>
          <w:szCs w:val="21"/>
          <w:lang w:eastAsia="en-AU"/>
        </w:rPr>
        <w:t>e</w:t>
      </w:r>
      <w:r w:rsidRPr="004A37D1">
        <w:rPr>
          <w:rFonts w:ascii="Arial" w:eastAsia="Times New Roman" w:hAnsi="Arial" w:cs="Arial"/>
          <w:spacing w:val="-1"/>
          <w:sz w:val="21"/>
          <w:szCs w:val="21"/>
          <w:lang w:eastAsia="en-AU"/>
        </w:rPr>
        <w:t>s</w:t>
      </w:r>
      <w:r w:rsidRPr="004A37D1">
        <w:rPr>
          <w:rFonts w:ascii="Arial" w:eastAsia="Times New Roman" w:hAnsi="Arial" w:cs="Arial"/>
          <w:spacing w:val="-25"/>
          <w:sz w:val="21"/>
          <w:szCs w:val="21"/>
          <w:lang w:eastAsia="en-AU"/>
        </w:rPr>
        <w:t xml:space="preserve"> </w:t>
      </w:r>
      <w:r w:rsidRPr="004A37D1">
        <w:rPr>
          <w:rFonts w:ascii="Arial" w:eastAsia="Times New Roman" w:hAnsi="Arial" w:cs="Arial"/>
          <w:spacing w:val="-1"/>
          <w:sz w:val="21"/>
          <w:szCs w:val="21"/>
          <w:lang w:eastAsia="en-AU"/>
        </w:rPr>
        <w:t xml:space="preserve">Policy, </w:t>
      </w:r>
      <w:r w:rsidRPr="004A37D1">
        <w:rPr>
          <w:rFonts w:ascii="Arial" w:eastAsia="Times New Roman" w:hAnsi="Arial" w:cs="Arial"/>
          <w:sz w:val="21"/>
          <w:szCs w:val="21"/>
          <w:lang w:eastAsia="en-AU"/>
        </w:rPr>
        <w:t>v</w:t>
      </w:r>
      <w:r w:rsidRPr="004A37D1">
        <w:rPr>
          <w:rFonts w:ascii="Arial" w:eastAsia="Times New Roman" w:hAnsi="Arial" w:cs="Arial"/>
          <w:spacing w:val="-1"/>
          <w:sz w:val="21"/>
          <w:szCs w:val="21"/>
          <w:lang w:eastAsia="en-AU"/>
        </w:rPr>
        <w:t>is</w:t>
      </w:r>
      <w:r w:rsidRPr="004A37D1">
        <w:rPr>
          <w:rFonts w:ascii="Arial" w:eastAsia="Times New Roman" w:hAnsi="Arial" w:cs="Arial"/>
          <w:sz w:val="21"/>
          <w:szCs w:val="21"/>
          <w:lang w:eastAsia="en-AU"/>
        </w:rPr>
        <w:t xml:space="preserve">it: </w:t>
      </w:r>
      <w:hyperlink r:id="rId7" w:history="1">
        <w:r w:rsidRPr="004A37D1">
          <w:rPr>
            <w:rFonts w:ascii="Arial" w:eastAsia="Times New Roman" w:hAnsi="Arial" w:cs="Arial"/>
            <w:sz w:val="21"/>
            <w:szCs w:val="21"/>
            <w:u w:val="single"/>
            <w:lang w:eastAsia="en-AU"/>
          </w:rPr>
          <w:t>https://data.qld.gov.au</w:t>
        </w:r>
      </w:hyperlink>
      <w:bookmarkStart w:id="34" w:name="_Toc42002269"/>
      <w:bookmarkStart w:id="35" w:name="_Toc43444804"/>
      <w:bookmarkStart w:id="36" w:name="_Toc78287404"/>
      <w:bookmarkStart w:id="37" w:name="_Toc78355811"/>
    </w:p>
    <w:p w14:paraId="1BA7E9E9" w14:textId="24948775" w:rsidR="004A37D1" w:rsidRPr="004A37D1" w:rsidRDefault="004A37D1" w:rsidP="007054F2">
      <w:pPr>
        <w:pStyle w:val="Heading2"/>
        <w:keepLines w:val="0"/>
        <w:spacing w:before="0" w:after="120" w:line="240" w:lineRule="auto"/>
        <w:rPr>
          <w:rFonts w:ascii="Arial" w:hAnsi="Arial"/>
          <w:color w:val="auto"/>
        </w:rPr>
      </w:pPr>
      <w:bookmarkStart w:id="38" w:name="_Toc73714452"/>
      <w:bookmarkStart w:id="39" w:name="_Toc78287406"/>
      <w:bookmarkStart w:id="40" w:name="_Toc78355813"/>
      <w:bookmarkStart w:id="41" w:name="_Toc113544408"/>
      <w:bookmarkEnd w:id="32"/>
      <w:bookmarkEnd w:id="34"/>
      <w:bookmarkEnd w:id="35"/>
      <w:bookmarkEnd w:id="36"/>
      <w:bookmarkEnd w:id="37"/>
      <w:r w:rsidRPr="004A37D1">
        <w:rPr>
          <w:rFonts w:ascii="Arial" w:hAnsi="Arial"/>
          <w:color w:val="auto"/>
        </w:rPr>
        <w:t>Future directions</w:t>
      </w:r>
      <w:bookmarkEnd w:id="38"/>
      <w:bookmarkEnd w:id="39"/>
      <w:bookmarkEnd w:id="40"/>
      <w:bookmarkEnd w:id="41"/>
    </w:p>
    <w:p w14:paraId="13C560CB" w14:textId="77777777" w:rsidR="004A37D1" w:rsidRPr="00695E3F" w:rsidRDefault="004A37D1" w:rsidP="007054F2">
      <w:pPr>
        <w:spacing w:after="0"/>
        <w:rPr>
          <w:b/>
          <w:bCs/>
        </w:rPr>
      </w:pPr>
      <w:r w:rsidRPr="00695E3F">
        <w:rPr>
          <w:b/>
          <w:bCs/>
        </w:rPr>
        <w:t>Strengthen capability, innovation and governance by:</w:t>
      </w:r>
    </w:p>
    <w:p w14:paraId="161F1AB9" w14:textId="77777777" w:rsidR="004A37D1" w:rsidRPr="004A37D1" w:rsidRDefault="004A37D1" w:rsidP="007054F2">
      <w:pPr>
        <w:pStyle w:val="ListBullet"/>
        <w:numPr>
          <w:ilvl w:val="0"/>
          <w:numId w:val="16"/>
        </w:numPr>
      </w:pPr>
      <w:r w:rsidRPr="004A37D1">
        <w:t xml:space="preserve">strengthening performance through contemporary governance best practice </w:t>
      </w:r>
    </w:p>
    <w:p w14:paraId="4250EFEB" w14:textId="77777777" w:rsidR="004A37D1" w:rsidRPr="004A37D1" w:rsidRDefault="004A37D1" w:rsidP="007054F2">
      <w:pPr>
        <w:pStyle w:val="ListBullet"/>
        <w:numPr>
          <w:ilvl w:val="0"/>
          <w:numId w:val="16"/>
        </w:numPr>
      </w:pPr>
      <w:r w:rsidRPr="004A37D1">
        <w:t xml:space="preserve">improving departmental workforce inclusion and diversity </w:t>
      </w:r>
    </w:p>
    <w:p w14:paraId="3610D381" w14:textId="77777777" w:rsidR="004A37D1" w:rsidRPr="004A37D1" w:rsidRDefault="004A37D1" w:rsidP="007054F2">
      <w:pPr>
        <w:pStyle w:val="ListBullet"/>
        <w:numPr>
          <w:ilvl w:val="0"/>
          <w:numId w:val="16"/>
        </w:numPr>
      </w:pPr>
      <w:r w:rsidRPr="004A37D1">
        <w:t xml:space="preserve">driving performance, innovation and service delivery improvements aligned to the government’s priorities, through evaluations, reviews, data and feedback </w:t>
      </w:r>
    </w:p>
    <w:p w14:paraId="3E8EBA21" w14:textId="77777777" w:rsidR="004A37D1" w:rsidRPr="004A37D1" w:rsidRDefault="004A37D1" w:rsidP="007054F2">
      <w:pPr>
        <w:pStyle w:val="ListBullet"/>
        <w:numPr>
          <w:ilvl w:val="0"/>
          <w:numId w:val="16"/>
        </w:numPr>
      </w:pPr>
      <w:r w:rsidRPr="004A37D1">
        <w:t xml:space="preserve">building on and maintaining workforce capability that is outcomes focussed to consistently deliver service expectations </w:t>
      </w:r>
    </w:p>
    <w:p w14:paraId="04875BA9" w14:textId="77777777" w:rsidR="004A37D1" w:rsidRPr="004A37D1" w:rsidRDefault="004A37D1" w:rsidP="007054F2">
      <w:pPr>
        <w:pStyle w:val="ListBullet"/>
        <w:numPr>
          <w:ilvl w:val="0"/>
          <w:numId w:val="16"/>
        </w:numPr>
      </w:pPr>
      <w:r w:rsidRPr="004A37D1">
        <w:t xml:space="preserve">valuing our staff, supporting them through change, and assisting them to engage in departmental programs that build leadership competencies and capability, and encourage innovation in line with our SOLID values </w:t>
      </w:r>
    </w:p>
    <w:p w14:paraId="57D40370" w14:textId="77777777" w:rsidR="004A37D1" w:rsidRPr="004A37D1" w:rsidRDefault="004A37D1" w:rsidP="007054F2">
      <w:pPr>
        <w:pStyle w:val="ListBullet"/>
        <w:numPr>
          <w:ilvl w:val="0"/>
          <w:numId w:val="16"/>
        </w:numPr>
      </w:pPr>
      <w:r w:rsidRPr="004A37D1">
        <w:t xml:space="preserve">investing in the learning and capability development of our staff, ensuring that their safety, health and wellbeing is a priority, with a focus on the attraction and retention of a skilled and diverse workforce </w:t>
      </w:r>
    </w:p>
    <w:p w14:paraId="7B94BD7F" w14:textId="77777777" w:rsidR="004A37D1" w:rsidRPr="004A37D1" w:rsidRDefault="004A37D1" w:rsidP="007054F2">
      <w:pPr>
        <w:pStyle w:val="ListBullet"/>
        <w:numPr>
          <w:ilvl w:val="0"/>
          <w:numId w:val="16"/>
        </w:numPr>
      </w:pPr>
      <w:r w:rsidRPr="004A37D1">
        <w:t>engaging with staff on the outcome of the Working for Queensland survey and empowering staff to design approaches that make the department an employer of choice.</w:t>
      </w:r>
    </w:p>
    <w:p w14:paraId="14369ADD" w14:textId="77777777" w:rsidR="004A37D1" w:rsidRPr="004A37D1" w:rsidRDefault="004A37D1" w:rsidP="007054F2">
      <w:pPr>
        <w:numPr>
          <w:ilvl w:val="0"/>
          <w:numId w:val="7"/>
        </w:numPr>
        <w:spacing w:after="0" w:line="240" w:lineRule="auto"/>
        <w:contextualSpacing/>
        <w:rPr>
          <w:rFonts w:ascii="Arial" w:eastAsia="Times New Roman" w:hAnsi="Arial" w:cs="Arial"/>
          <w:bCs/>
          <w:noProof/>
          <w:kern w:val="32"/>
          <w:sz w:val="21"/>
          <w:szCs w:val="21"/>
        </w:rPr>
      </w:pPr>
      <w:r w:rsidRPr="004A37D1">
        <w:rPr>
          <w:rFonts w:ascii="Arial" w:eastAsia="Times New Roman" w:hAnsi="Arial" w:cs="Arial"/>
          <w:sz w:val="21"/>
          <w:szCs w:val="21"/>
          <w:lang w:eastAsia="en-AU"/>
        </w:rPr>
        <w:br w:type="page"/>
      </w:r>
      <w:bookmarkEnd w:id="16"/>
    </w:p>
    <w:p w14:paraId="2F6AE6F0" w14:textId="77777777" w:rsidR="002D371F" w:rsidRPr="00695E3F" w:rsidRDefault="002D371F"/>
    <w:sectPr w:rsidR="002D371F" w:rsidRPr="00695E3F" w:rsidSect="004A37D1">
      <w:footerReference w:type="default" r:id="rId8"/>
      <w:pgSz w:w="11906" w:h="16838"/>
      <w:pgMar w:top="720" w:right="720" w:bottom="720" w:left="720" w:header="708" w:footer="708"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39AD" w14:textId="77777777" w:rsidR="00091EBD" w:rsidRDefault="00091EBD" w:rsidP="004A37D1">
      <w:pPr>
        <w:spacing w:after="0" w:line="240" w:lineRule="auto"/>
      </w:pPr>
      <w:r>
        <w:separator/>
      </w:r>
    </w:p>
  </w:endnote>
  <w:endnote w:type="continuationSeparator" w:id="0">
    <w:p w14:paraId="3F0BCAF5" w14:textId="77777777" w:rsidR="00091EBD" w:rsidRDefault="00091EBD" w:rsidP="004A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LightIta">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614658791"/>
      <w:docPartObj>
        <w:docPartGallery w:val="Page Numbers (Bottom of Page)"/>
        <w:docPartUnique/>
      </w:docPartObj>
    </w:sdtPr>
    <w:sdtEndPr>
      <w:rPr>
        <w:noProof/>
      </w:rPr>
    </w:sdtEndPr>
    <w:sdtContent>
      <w:p w14:paraId="01AFEAC5" w14:textId="07E3F95A" w:rsidR="004A37D1" w:rsidRDefault="004A37D1">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1951C87D" w14:textId="77777777" w:rsidR="004A37D1" w:rsidRDefault="004A3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4FDD" w14:textId="77777777" w:rsidR="00091EBD" w:rsidRDefault="00091EBD" w:rsidP="004A37D1">
      <w:pPr>
        <w:spacing w:after="0" w:line="240" w:lineRule="auto"/>
      </w:pPr>
      <w:r>
        <w:separator/>
      </w:r>
    </w:p>
  </w:footnote>
  <w:footnote w:type="continuationSeparator" w:id="0">
    <w:p w14:paraId="44C52513" w14:textId="77777777" w:rsidR="00091EBD" w:rsidRDefault="00091EBD" w:rsidP="004A3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165306"/>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00E87976"/>
    <w:multiLevelType w:val="hybridMultilevel"/>
    <w:tmpl w:val="F4424F28"/>
    <w:lvl w:ilvl="0" w:tplc="787E1D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453F5"/>
    <w:multiLevelType w:val="multilevel"/>
    <w:tmpl w:val="5D4A3E8A"/>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3" w15:restartNumberingAfterBreak="0">
    <w:nsid w:val="294A28D1"/>
    <w:multiLevelType w:val="hybridMultilevel"/>
    <w:tmpl w:val="2AD6B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D5541C"/>
    <w:multiLevelType w:val="hybridMultilevel"/>
    <w:tmpl w:val="FC0CED78"/>
    <w:lvl w:ilvl="0" w:tplc="827092E4">
      <w:start w:val="1"/>
      <w:numFmt w:val="bullet"/>
      <w:lvlText w:val=""/>
      <w:lvlJc w:val="left"/>
      <w:pPr>
        <w:ind w:left="780" w:hanging="360"/>
      </w:pPr>
      <w:rPr>
        <w:rFonts w:ascii="Symbol" w:hAnsi="Symbol" w:hint="default"/>
        <w:color w:val="000000" w:themeColor="text1"/>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40A95BF5"/>
    <w:multiLevelType w:val="hybridMultilevel"/>
    <w:tmpl w:val="EEDC2FEE"/>
    <w:lvl w:ilvl="0" w:tplc="6A86FF94">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6" w15:restartNumberingAfterBreak="0">
    <w:nsid w:val="4B0369AF"/>
    <w:multiLevelType w:val="hybridMultilevel"/>
    <w:tmpl w:val="388CA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AF171D"/>
    <w:multiLevelType w:val="hybridMultilevel"/>
    <w:tmpl w:val="EE64F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5F78F8"/>
    <w:multiLevelType w:val="multilevel"/>
    <w:tmpl w:val="6504C148"/>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9" w15:restartNumberingAfterBreak="0">
    <w:nsid w:val="58AE4415"/>
    <w:multiLevelType w:val="hybridMultilevel"/>
    <w:tmpl w:val="318AC75A"/>
    <w:lvl w:ilvl="0" w:tplc="0C090005">
      <w:start w:val="1"/>
      <w:numFmt w:val="bullet"/>
      <w:lvlText w:val=""/>
      <w:lvlJc w:val="left"/>
      <w:pPr>
        <w:tabs>
          <w:tab w:val="num" w:pos="540"/>
        </w:tabs>
        <w:ind w:left="540" w:hanging="360"/>
      </w:pPr>
      <w:rPr>
        <w:rFonts w:ascii="Wingdings" w:hAnsi="Wingdings" w:hint="default"/>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5D08792E">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B7D0EA1"/>
    <w:multiLevelType w:val="hybridMultilevel"/>
    <w:tmpl w:val="F6549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29528C"/>
    <w:multiLevelType w:val="hybridMultilevel"/>
    <w:tmpl w:val="BCE05D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4345BB"/>
    <w:multiLevelType w:val="hybridMultilevel"/>
    <w:tmpl w:val="F50423B4"/>
    <w:lvl w:ilvl="0" w:tplc="010EF8B2">
      <w:start w:val="1"/>
      <w:numFmt w:val="bullet"/>
      <w:pStyle w:val="Tablebullet"/>
      <w:lvlText w:val=""/>
      <w:lvlJc w:val="left"/>
      <w:pPr>
        <w:ind w:left="720" w:hanging="360"/>
      </w:pPr>
      <w:rPr>
        <w:rFonts w:ascii="Symbol" w:hAnsi="Symbol" w:hint="default"/>
        <w:color w:val="7F7F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C91463"/>
    <w:multiLevelType w:val="hybridMultilevel"/>
    <w:tmpl w:val="4ED84ECC"/>
    <w:lvl w:ilvl="0" w:tplc="98602FBE">
      <w:start w:val="1"/>
      <w:numFmt w:val="bullet"/>
      <w:pStyle w:val="Bullets"/>
      <w:lvlText w:val=""/>
      <w:lvlJc w:val="left"/>
      <w:pPr>
        <w:ind w:left="1495"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5180EFC"/>
    <w:multiLevelType w:val="hybridMultilevel"/>
    <w:tmpl w:val="1F88FBC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A8E1EED"/>
    <w:multiLevelType w:val="hybridMultilevel"/>
    <w:tmpl w:val="2DE4F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9"/>
  </w:num>
  <w:num w:numId="5">
    <w:abstractNumId w:val="13"/>
  </w:num>
  <w:num w:numId="6">
    <w:abstractNumId w:val="2"/>
  </w:num>
  <w:num w:numId="7">
    <w:abstractNumId w:val="1"/>
  </w:num>
  <w:num w:numId="8">
    <w:abstractNumId w:val="3"/>
  </w:num>
  <w:num w:numId="9">
    <w:abstractNumId w:val="15"/>
  </w:num>
  <w:num w:numId="10">
    <w:abstractNumId w:val="4"/>
  </w:num>
  <w:num w:numId="11">
    <w:abstractNumId w:val="5"/>
  </w:num>
  <w:num w:numId="12">
    <w:abstractNumId w:val="11"/>
  </w:num>
  <w:num w:numId="13">
    <w:abstractNumId w:val="6"/>
  </w:num>
  <w:num w:numId="14">
    <w:abstractNumId w:val="10"/>
  </w:num>
  <w:num w:numId="15">
    <w:abstractNumId w:val="7"/>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D1"/>
    <w:rsid w:val="00091EBD"/>
    <w:rsid w:val="001D7DBF"/>
    <w:rsid w:val="00237DBC"/>
    <w:rsid w:val="002D371F"/>
    <w:rsid w:val="004A37D1"/>
    <w:rsid w:val="00695E3F"/>
    <w:rsid w:val="007054F2"/>
    <w:rsid w:val="008B46FE"/>
    <w:rsid w:val="00AD57BC"/>
    <w:rsid w:val="00FE1B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CF0D"/>
  <w15:chartTrackingRefBased/>
  <w15:docId w15:val="{B6F8C8E0-E1F0-43D6-9200-DE4DDEBA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37D1"/>
    <w:pPr>
      <w:keepNext/>
      <w:keepLines/>
      <w:spacing w:before="240" w:after="0"/>
      <w:outlineLvl w:val="0"/>
    </w:pPr>
    <w:rPr>
      <w:rFonts w:cs="Arial"/>
      <w:bCs/>
      <w:noProof/>
      <w:color w:val="262626"/>
      <w:kern w:val="32"/>
      <w:sz w:val="40"/>
      <w:szCs w:val="40"/>
    </w:rPr>
  </w:style>
  <w:style w:type="paragraph" w:styleId="Heading2">
    <w:name w:val="heading 2"/>
    <w:basedOn w:val="Normal"/>
    <w:next w:val="Normal"/>
    <w:link w:val="Heading2Char"/>
    <w:uiPriority w:val="9"/>
    <w:unhideWhenUsed/>
    <w:qFormat/>
    <w:rsid w:val="004A37D1"/>
    <w:pPr>
      <w:keepNext/>
      <w:keepLines/>
      <w:spacing w:before="40" w:after="0"/>
      <w:outlineLvl w:val="1"/>
    </w:pPr>
    <w:rPr>
      <w:rFonts w:eastAsia="Calibri" w:cs="Arial"/>
      <w:bCs/>
      <w:iCs/>
      <w:color w:val="595959"/>
      <w:sz w:val="32"/>
      <w:szCs w:val="32"/>
    </w:rPr>
  </w:style>
  <w:style w:type="paragraph" w:styleId="Heading3">
    <w:name w:val="heading 3"/>
    <w:basedOn w:val="Normal"/>
    <w:next w:val="Normal"/>
    <w:link w:val="Heading3Char"/>
    <w:uiPriority w:val="9"/>
    <w:qFormat/>
    <w:rsid w:val="004A37D1"/>
    <w:pPr>
      <w:spacing w:after="120" w:line="240" w:lineRule="auto"/>
      <w:outlineLvl w:val="2"/>
    </w:pPr>
    <w:rPr>
      <w:rFonts w:ascii="Arial" w:eastAsia="Times New Roman" w:hAnsi="Arial" w:cs="Arial"/>
      <w:bCs/>
      <w:sz w:val="26"/>
      <w:szCs w:val="26"/>
    </w:rPr>
  </w:style>
  <w:style w:type="paragraph" w:styleId="Heading4">
    <w:name w:val="heading 4"/>
    <w:basedOn w:val="BodyText"/>
    <w:next w:val="Normal"/>
    <w:link w:val="Heading4Char"/>
    <w:uiPriority w:val="9"/>
    <w:unhideWhenUsed/>
    <w:qFormat/>
    <w:rsid w:val="004A37D1"/>
    <w:pPr>
      <w:spacing w:after="40"/>
      <w:outlineLvl w:val="3"/>
    </w:pPr>
    <w:rPr>
      <w:rFonts w:eastAsia="Calibri"/>
      <w:b/>
      <w:sz w:val="23"/>
      <w:szCs w:val="23"/>
      <w:lang w:val="en-US" w:eastAsia="en-US"/>
    </w:rPr>
  </w:style>
  <w:style w:type="paragraph" w:styleId="Heading5">
    <w:name w:val="heading 5"/>
    <w:basedOn w:val="BodyText"/>
    <w:next w:val="Normal"/>
    <w:link w:val="Heading5Char"/>
    <w:uiPriority w:val="9"/>
    <w:unhideWhenUsed/>
    <w:qFormat/>
    <w:rsid w:val="004A37D1"/>
    <w:pPr>
      <w:spacing w:after="40"/>
      <w:outlineLvl w:val="4"/>
    </w:pPr>
    <w:rPr>
      <w:rFonts w:eastAsia="Calibri"/>
      <w:b/>
      <w:i/>
      <w:lang w:val="en-US" w:eastAsia="en-US"/>
    </w:rPr>
  </w:style>
  <w:style w:type="paragraph" w:styleId="Heading6">
    <w:name w:val="heading 6"/>
    <w:basedOn w:val="Normal"/>
    <w:next w:val="Normal"/>
    <w:link w:val="Heading6Char"/>
    <w:uiPriority w:val="9"/>
    <w:unhideWhenUsed/>
    <w:qFormat/>
    <w:rsid w:val="004A37D1"/>
    <w:pPr>
      <w:spacing w:before="240" w:after="60" w:line="276" w:lineRule="auto"/>
      <w:outlineLvl w:val="5"/>
    </w:pPr>
    <w:rPr>
      <w:rFonts w:ascii="Arial" w:eastAsia="Times New Roman" w:hAnsi="Arial" w:cs="Times New Roman"/>
      <w:bCs/>
      <w:sz w:val="21"/>
      <w:lang w:eastAsia="en-AU"/>
    </w:rPr>
  </w:style>
  <w:style w:type="paragraph" w:styleId="Heading7">
    <w:name w:val="heading 7"/>
    <w:basedOn w:val="TableFigure"/>
    <w:next w:val="Normal"/>
    <w:link w:val="Heading7Char"/>
    <w:uiPriority w:val="1"/>
    <w:unhideWhenUsed/>
    <w:qFormat/>
    <w:rsid w:val="004A37D1"/>
    <w:pPr>
      <w:outlineLvl w:val="6"/>
    </w:pPr>
    <w:rPr>
      <w:sz w:val="21"/>
      <w:szCs w:val="21"/>
    </w:rPr>
  </w:style>
  <w:style w:type="paragraph" w:styleId="Heading8">
    <w:name w:val="heading 8"/>
    <w:basedOn w:val="Normal"/>
    <w:next w:val="Normal"/>
    <w:link w:val="Heading8Char"/>
    <w:uiPriority w:val="1"/>
    <w:unhideWhenUsed/>
    <w:qFormat/>
    <w:rsid w:val="004A37D1"/>
    <w:pPr>
      <w:spacing w:before="240" w:after="60" w:line="276" w:lineRule="auto"/>
      <w:outlineLvl w:val="7"/>
    </w:pPr>
    <w:rPr>
      <w:rFonts w:ascii="Calibri" w:eastAsia="Times New Roman" w:hAnsi="Calibri" w:cs="Times New Roman"/>
      <w:i/>
      <w:iCs/>
      <w:sz w:val="24"/>
      <w:szCs w:val="24"/>
      <w:lang w:eastAsia="en-AU"/>
    </w:rPr>
  </w:style>
  <w:style w:type="paragraph" w:styleId="Heading9">
    <w:name w:val="heading 9"/>
    <w:basedOn w:val="Normal"/>
    <w:next w:val="Normal"/>
    <w:link w:val="Heading9Char"/>
    <w:uiPriority w:val="1"/>
    <w:unhideWhenUsed/>
    <w:qFormat/>
    <w:rsid w:val="004A37D1"/>
    <w:pPr>
      <w:spacing w:before="240" w:after="60" w:line="276" w:lineRule="auto"/>
      <w:outlineLvl w:val="8"/>
    </w:pPr>
    <w:rPr>
      <w:rFonts w:ascii="Cambria" w:eastAsia="Times New Roman" w:hAnsi="Cambria"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4A37D1"/>
    <w:pPr>
      <w:keepNext/>
      <w:spacing w:after="180" w:line="240" w:lineRule="auto"/>
      <w:outlineLvl w:val="0"/>
    </w:pPr>
    <w:rPr>
      <w:rFonts w:ascii="Arial" w:eastAsia="Times New Roman" w:hAnsi="Arial" w:cs="Arial"/>
      <w:bCs/>
      <w:noProof/>
      <w:color w:val="262626"/>
      <w:kern w:val="32"/>
      <w:sz w:val="40"/>
      <w:szCs w:val="40"/>
    </w:rPr>
  </w:style>
  <w:style w:type="paragraph" w:customStyle="1" w:styleId="Heading21">
    <w:name w:val="Heading 21"/>
    <w:basedOn w:val="Normal"/>
    <w:next w:val="Normal"/>
    <w:uiPriority w:val="9"/>
    <w:qFormat/>
    <w:rsid w:val="004A37D1"/>
    <w:pPr>
      <w:keepNext/>
      <w:spacing w:after="120" w:line="240" w:lineRule="auto"/>
      <w:outlineLvl w:val="1"/>
    </w:pPr>
    <w:rPr>
      <w:rFonts w:ascii="Arial" w:eastAsia="Calibri" w:hAnsi="Arial" w:cs="Arial"/>
      <w:bCs/>
      <w:iCs/>
      <w:color w:val="595959"/>
      <w:sz w:val="32"/>
      <w:szCs w:val="32"/>
    </w:rPr>
  </w:style>
  <w:style w:type="character" w:customStyle="1" w:styleId="Heading3Char">
    <w:name w:val="Heading 3 Char"/>
    <w:basedOn w:val="DefaultParagraphFont"/>
    <w:link w:val="Heading3"/>
    <w:uiPriority w:val="9"/>
    <w:rsid w:val="004A37D1"/>
    <w:rPr>
      <w:rFonts w:ascii="Arial" w:eastAsia="Times New Roman" w:hAnsi="Arial" w:cs="Arial"/>
      <w:bCs/>
      <w:sz w:val="26"/>
      <w:szCs w:val="26"/>
    </w:rPr>
  </w:style>
  <w:style w:type="character" w:customStyle="1" w:styleId="Heading4Char">
    <w:name w:val="Heading 4 Char"/>
    <w:basedOn w:val="DefaultParagraphFont"/>
    <w:link w:val="Heading4"/>
    <w:uiPriority w:val="9"/>
    <w:rsid w:val="004A37D1"/>
    <w:rPr>
      <w:rFonts w:ascii="Arial" w:eastAsia="Calibri" w:hAnsi="Arial" w:cs="Arial"/>
      <w:b/>
      <w:sz w:val="23"/>
      <w:szCs w:val="23"/>
      <w:lang w:val="en-US"/>
    </w:rPr>
  </w:style>
  <w:style w:type="character" w:customStyle="1" w:styleId="Heading5Char">
    <w:name w:val="Heading 5 Char"/>
    <w:basedOn w:val="DefaultParagraphFont"/>
    <w:link w:val="Heading5"/>
    <w:uiPriority w:val="9"/>
    <w:rsid w:val="004A37D1"/>
    <w:rPr>
      <w:rFonts w:ascii="Arial" w:eastAsia="Calibri" w:hAnsi="Arial" w:cs="Arial"/>
      <w:b/>
      <w:i/>
      <w:sz w:val="21"/>
      <w:szCs w:val="21"/>
      <w:lang w:val="en-US"/>
    </w:rPr>
  </w:style>
  <w:style w:type="character" w:customStyle="1" w:styleId="Heading6Char">
    <w:name w:val="Heading 6 Char"/>
    <w:basedOn w:val="DefaultParagraphFont"/>
    <w:link w:val="Heading6"/>
    <w:uiPriority w:val="9"/>
    <w:rsid w:val="004A37D1"/>
    <w:rPr>
      <w:rFonts w:ascii="Arial" w:eastAsia="Times New Roman" w:hAnsi="Arial" w:cs="Times New Roman"/>
      <w:bCs/>
      <w:sz w:val="21"/>
      <w:lang w:eastAsia="en-AU"/>
    </w:rPr>
  </w:style>
  <w:style w:type="character" w:customStyle="1" w:styleId="Heading7Char">
    <w:name w:val="Heading 7 Char"/>
    <w:basedOn w:val="DefaultParagraphFont"/>
    <w:link w:val="Heading7"/>
    <w:uiPriority w:val="1"/>
    <w:rsid w:val="004A37D1"/>
    <w:rPr>
      <w:rFonts w:ascii="Arial" w:eastAsia="Times New Roman" w:hAnsi="Arial" w:cs="Arial"/>
      <w:i/>
      <w:color w:val="7F7F7F"/>
      <w:sz w:val="21"/>
      <w:szCs w:val="21"/>
      <w:lang w:val="en-US" w:eastAsia="en-AU"/>
    </w:rPr>
  </w:style>
  <w:style w:type="character" w:customStyle="1" w:styleId="Heading8Char">
    <w:name w:val="Heading 8 Char"/>
    <w:basedOn w:val="DefaultParagraphFont"/>
    <w:link w:val="Heading8"/>
    <w:uiPriority w:val="1"/>
    <w:rsid w:val="004A37D1"/>
    <w:rPr>
      <w:rFonts w:ascii="Calibri" w:eastAsia="Times New Roman" w:hAnsi="Calibri" w:cs="Times New Roman"/>
      <w:i/>
      <w:iCs/>
      <w:sz w:val="24"/>
      <w:szCs w:val="24"/>
      <w:lang w:eastAsia="en-AU"/>
    </w:rPr>
  </w:style>
  <w:style w:type="character" w:customStyle="1" w:styleId="Heading9Char">
    <w:name w:val="Heading 9 Char"/>
    <w:basedOn w:val="DefaultParagraphFont"/>
    <w:link w:val="Heading9"/>
    <w:uiPriority w:val="1"/>
    <w:rsid w:val="004A37D1"/>
    <w:rPr>
      <w:rFonts w:ascii="Cambria" w:eastAsia="Times New Roman" w:hAnsi="Cambria" w:cs="Times New Roman"/>
      <w:lang w:eastAsia="en-AU"/>
    </w:rPr>
  </w:style>
  <w:style w:type="numbering" w:customStyle="1" w:styleId="NoList1">
    <w:name w:val="No List1"/>
    <w:next w:val="NoList"/>
    <w:uiPriority w:val="99"/>
    <w:semiHidden/>
    <w:unhideWhenUsed/>
    <w:rsid w:val="004A37D1"/>
  </w:style>
  <w:style w:type="character" w:customStyle="1" w:styleId="Heading2Char">
    <w:name w:val="Heading 2 Char"/>
    <w:link w:val="Heading2"/>
    <w:uiPriority w:val="9"/>
    <w:rsid w:val="004A37D1"/>
    <w:rPr>
      <w:rFonts w:eastAsia="Calibri" w:cs="Arial"/>
      <w:bCs/>
      <w:iCs/>
      <w:color w:val="595959"/>
      <w:sz w:val="32"/>
      <w:szCs w:val="32"/>
      <w:lang w:eastAsia="en-US"/>
    </w:rPr>
  </w:style>
  <w:style w:type="table" w:customStyle="1" w:styleId="Tablestyle-header">
    <w:name w:val="Table style - header"/>
    <w:basedOn w:val="TableNormal"/>
    <w:uiPriority w:val="99"/>
    <w:rsid w:val="004A37D1"/>
    <w:pPr>
      <w:spacing w:after="0" w:line="240" w:lineRule="auto"/>
    </w:pPr>
    <w:rPr>
      <w:rFonts w:ascii="Arial" w:eastAsia="Times New Roman" w:hAnsi="Arial" w:cs="Times New Roman"/>
      <w:sz w:val="20"/>
      <w:szCs w:val="20"/>
      <w:lang w:eastAsia="en-AU"/>
    </w:rPr>
    <w:tblPr/>
  </w:style>
  <w:style w:type="character" w:customStyle="1" w:styleId="Heading1Char">
    <w:name w:val="Heading 1 Char"/>
    <w:link w:val="Heading1"/>
    <w:uiPriority w:val="9"/>
    <w:rsid w:val="004A37D1"/>
    <w:rPr>
      <w:rFonts w:cs="Arial"/>
      <w:bCs/>
      <w:noProof/>
      <w:color w:val="262626"/>
      <w:kern w:val="32"/>
      <w:sz w:val="40"/>
      <w:szCs w:val="40"/>
      <w:lang w:eastAsia="en-US"/>
    </w:rPr>
  </w:style>
  <w:style w:type="paragraph" w:customStyle="1" w:styleId="Contactdetails">
    <w:name w:val="Contact details"/>
    <w:qFormat/>
    <w:rsid w:val="004A37D1"/>
    <w:pPr>
      <w:tabs>
        <w:tab w:val="left" w:pos="2552"/>
      </w:tabs>
      <w:spacing w:after="120" w:line="240" w:lineRule="auto"/>
      <w:ind w:left="1843" w:hanging="1843"/>
    </w:pPr>
    <w:rPr>
      <w:rFonts w:ascii="Arial" w:eastAsia="Times New Roman" w:hAnsi="Arial" w:cs="Arial"/>
      <w:color w:val="006E89"/>
      <w:sz w:val="21"/>
      <w:szCs w:val="21"/>
      <w:lang w:val="en-US" w:eastAsia="en-AU"/>
    </w:rPr>
  </w:style>
  <w:style w:type="paragraph" w:styleId="BodyText">
    <w:name w:val="Body Text"/>
    <w:basedOn w:val="Normal"/>
    <w:link w:val="BodyTextChar"/>
    <w:uiPriority w:val="1"/>
    <w:qFormat/>
    <w:rsid w:val="004A37D1"/>
    <w:pPr>
      <w:spacing w:after="200" w:line="276" w:lineRule="auto"/>
    </w:pPr>
    <w:rPr>
      <w:rFonts w:ascii="Arial" w:eastAsia="Times New Roman" w:hAnsi="Arial" w:cs="Arial"/>
      <w:sz w:val="21"/>
      <w:szCs w:val="21"/>
      <w:lang w:eastAsia="en-AU"/>
    </w:rPr>
  </w:style>
  <w:style w:type="character" w:customStyle="1" w:styleId="BodyTextChar">
    <w:name w:val="Body Text Char"/>
    <w:basedOn w:val="DefaultParagraphFont"/>
    <w:link w:val="BodyText"/>
    <w:uiPriority w:val="1"/>
    <w:rsid w:val="004A37D1"/>
    <w:rPr>
      <w:rFonts w:ascii="Arial" w:eastAsia="Times New Roman" w:hAnsi="Arial" w:cs="Arial"/>
      <w:sz w:val="21"/>
      <w:szCs w:val="21"/>
      <w:lang w:eastAsia="en-AU"/>
    </w:rPr>
  </w:style>
  <w:style w:type="paragraph" w:styleId="Footer">
    <w:name w:val="footer"/>
    <w:basedOn w:val="Normal"/>
    <w:link w:val="FooterChar"/>
    <w:uiPriority w:val="99"/>
    <w:rsid w:val="004A37D1"/>
    <w:pPr>
      <w:tabs>
        <w:tab w:val="center" w:pos="4153"/>
        <w:tab w:val="right" w:pos="9639"/>
        <w:tab w:val="right" w:pos="14601"/>
      </w:tabs>
      <w:spacing w:after="200" w:line="276" w:lineRule="auto"/>
    </w:pPr>
    <w:rPr>
      <w:rFonts w:ascii="Arial" w:eastAsia="Times New Roman" w:hAnsi="Arial" w:cs="Arial"/>
      <w:noProof/>
      <w:sz w:val="16"/>
      <w:szCs w:val="16"/>
      <w:lang w:eastAsia="en-AU"/>
    </w:rPr>
  </w:style>
  <w:style w:type="character" w:customStyle="1" w:styleId="FooterChar">
    <w:name w:val="Footer Char"/>
    <w:basedOn w:val="DefaultParagraphFont"/>
    <w:link w:val="Footer"/>
    <w:uiPriority w:val="99"/>
    <w:rsid w:val="004A37D1"/>
    <w:rPr>
      <w:rFonts w:ascii="Arial" w:eastAsia="Times New Roman" w:hAnsi="Arial" w:cs="Arial"/>
      <w:noProof/>
      <w:sz w:val="16"/>
      <w:szCs w:val="16"/>
      <w:lang w:eastAsia="en-AU"/>
    </w:rPr>
  </w:style>
  <w:style w:type="paragraph" w:customStyle="1" w:styleId="Header1">
    <w:name w:val="Header1"/>
    <w:basedOn w:val="Normal"/>
    <w:next w:val="Header"/>
    <w:link w:val="HeaderChar"/>
    <w:uiPriority w:val="99"/>
    <w:rsid w:val="004A37D1"/>
    <w:pPr>
      <w:tabs>
        <w:tab w:val="center" w:pos="4153"/>
        <w:tab w:val="right" w:pos="8306"/>
      </w:tabs>
      <w:spacing w:after="200" w:line="276" w:lineRule="auto"/>
    </w:pPr>
    <w:rPr>
      <w:rFonts w:cs="Arial"/>
      <w:noProof/>
      <w:color w:val="7F7F7F"/>
      <w:szCs w:val="21"/>
      <w:lang w:val="en-US"/>
    </w:rPr>
  </w:style>
  <w:style w:type="character" w:customStyle="1" w:styleId="HeaderChar">
    <w:name w:val="Header Char"/>
    <w:link w:val="Header1"/>
    <w:uiPriority w:val="99"/>
    <w:rsid w:val="004A37D1"/>
    <w:rPr>
      <w:rFonts w:cs="Arial"/>
      <w:noProof/>
      <w:color w:val="7F7F7F"/>
      <w:szCs w:val="21"/>
      <w:lang w:val="en-US"/>
    </w:rPr>
  </w:style>
  <w:style w:type="paragraph" w:styleId="ListBullet">
    <w:name w:val="List Bullet"/>
    <w:basedOn w:val="Normal"/>
    <w:qFormat/>
    <w:rsid w:val="004A37D1"/>
    <w:pPr>
      <w:spacing w:after="120" w:line="276" w:lineRule="auto"/>
      <w:contextualSpacing/>
    </w:pPr>
    <w:rPr>
      <w:rFonts w:ascii="Arial" w:eastAsia="Times New Roman" w:hAnsi="Arial" w:cs="Arial"/>
      <w:sz w:val="21"/>
      <w:szCs w:val="21"/>
      <w:lang w:eastAsia="en-AU"/>
    </w:rPr>
  </w:style>
  <w:style w:type="paragraph" w:styleId="ListBullet2">
    <w:name w:val="List Bullet 2"/>
    <w:basedOn w:val="ListBullet"/>
    <w:qFormat/>
    <w:rsid w:val="004A37D1"/>
  </w:style>
  <w:style w:type="paragraph" w:styleId="ListNumber">
    <w:name w:val="List Number"/>
    <w:basedOn w:val="Normal"/>
    <w:rsid w:val="004A37D1"/>
    <w:pPr>
      <w:numPr>
        <w:numId w:val="1"/>
      </w:numPr>
      <w:spacing w:after="120" w:line="276" w:lineRule="auto"/>
      <w:ind w:left="357" w:hanging="357"/>
      <w:contextualSpacing/>
    </w:pPr>
    <w:rPr>
      <w:rFonts w:ascii="Arial" w:eastAsia="Times New Roman" w:hAnsi="Arial" w:cs="Arial"/>
      <w:sz w:val="21"/>
      <w:szCs w:val="21"/>
      <w:lang w:eastAsia="en-AU"/>
    </w:rPr>
  </w:style>
  <w:style w:type="paragraph" w:customStyle="1" w:styleId="Contactheader">
    <w:name w:val="Contact header"/>
    <w:qFormat/>
    <w:rsid w:val="004A37D1"/>
    <w:pPr>
      <w:spacing w:after="120" w:line="240" w:lineRule="auto"/>
    </w:pPr>
    <w:rPr>
      <w:rFonts w:ascii="Arial" w:eastAsia="Times New Roman" w:hAnsi="Arial" w:cs="Arial"/>
      <w:b/>
      <w:color w:val="006E89"/>
      <w:sz w:val="21"/>
      <w:szCs w:val="21"/>
      <w:lang w:val="en-US" w:eastAsia="en-AU"/>
    </w:rPr>
  </w:style>
  <w:style w:type="character" w:styleId="PageNumber">
    <w:name w:val="page number"/>
    <w:rsid w:val="004A37D1"/>
  </w:style>
  <w:style w:type="character" w:styleId="IntenseReference">
    <w:name w:val="Intense Reference"/>
    <w:uiPriority w:val="32"/>
    <w:rsid w:val="004A37D1"/>
  </w:style>
  <w:style w:type="paragraph" w:styleId="ListContinue">
    <w:name w:val="List Continue"/>
    <w:basedOn w:val="Normal"/>
    <w:rsid w:val="004A37D1"/>
    <w:pPr>
      <w:spacing w:after="120" w:line="276" w:lineRule="auto"/>
      <w:ind w:left="426"/>
      <w:contextualSpacing/>
    </w:pPr>
    <w:rPr>
      <w:rFonts w:ascii="Arial" w:eastAsia="Times New Roman" w:hAnsi="Arial" w:cs="Arial"/>
      <w:sz w:val="21"/>
      <w:szCs w:val="21"/>
      <w:lang w:eastAsia="en-AU"/>
    </w:rPr>
  </w:style>
  <w:style w:type="paragraph" w:customStyle="1" w:styleId="Tableheader">
    <w:name w:val="Table header"/>
    <w:qFormat/>
    <w:rsid w:val="004A37D1"/>
    <w:pPr>
      <w:shd w:val="clear" w:color="auto" w:fill="7F7F7F"/>
      <w:spacing w:after="0" w:line="240" w:lineRule="auto"/>
      <w:ind w:left="142"/>
    </w:pPr>
    <w:rPr>
      <w:rFonts w:ascii="Arial" w:eastAsia="Times New Roman" w:hAnsi="Arial" w:cs="Arial"/>
      <w:color w:val="FFFFFF"/>
      <w:sz w:val="21"/>
      <w:szCs w:val="21"/>
      <w:lang w:val="en-US" w:eastAsia="en-AU"/>
    </w:rPr>
  </w:style>
  <w:style w:type="paragraph" w:customStyle="1" w:styleId="Tabletext">
    <w:name w:val="Table text"/>
    <w:uiPriority w:val="99"/>
    <w:qFormat/>
    <w:rsid w:val="004A37D1"/>
    <w:pPr>
      <w:spacing w:before="40" w:after="40" w:line="240" w:lineRule="auto"/>
      <w:ind w:left="142"/>
    </w:pPr>
    <w:rPr>
      <w:rFonts w:ascii="Arial" w:eastAsia="Times New Roman" w:hAnsi="Arial" w:cs="Arial"/>
      <w:sz w:val="19"/>
      <w:szCs w:val="19"/>
      <w:lang w:val="en-US" w:eastAsia="en-AU"/>
    </w:rPr>
  </w:style>
  <w:style w:type="paragraph" w:customStyle="1" w:styleId="TableFigure">
    <w:name w:val="Table/Figure #"/>
    <w:qFormat/>
    <w:rsid w:val="004A37D1"/>
    <w:pPr>
      <w:tabs>
        <w:tab w:val="left" w:pos="567"/>
      </w:tabs>
      <w:spacing w:before="200" w:after="60" w:line="240" w:lineRule="auto"/>
    </w:pPr>
    <w:rPr>
      <w:rFonts w:ascii="Arial" w:eastAsia="Times New Roman" w:hAnsi="Arial" w:cs="Arial"/>
      <w:i/>
      <w:color w:val="7F7F7F"/>
      <w:sz w:val="18"/>
      <w:szCs w:val="18"/>
      <w:lang w:val="en-US" w:eastAsia="en-AU"/>
    </w:rPr>
  </w:style>
  <w:style w:type="paragraph" w:styleId="TOC1">
    <w:name w:val="toc 1"/>
    <w:basedOn w:val="Normal"/>
    <w:next w:val="Normal"/>
    <w:autoRedefine/>
    <w:uiPriority w:val="39"/>
    <w:qFormat/>
    <w:rsid w:val="004A37D1"/>
    <w:pPr>
      <w:tabs>
        <w:tab w:val="right" w:pos="10348"/>
      </w:tabs>
      <w:spacing w:before="120" w:after="0" w:line="276" w:lineRule="auto"/>
    </w:pPr>
    <w:rPr>
      <w:rFonts w:ascii="Arial" w:eastAsia="Calibri" w:hAnsi="Arial" w:cs="Arial"/>
      <w:b/>
      <w:bCs/>
      <w:noProof/>
      <w:sz w:val="24"/>
      <w:szCs w:val="24"/>
      <w:lang w:eastAsia="en-AU"/>
    </w:rPr>
  </w:style>
  <w:style w:type="paragraph" w:styleId="TOC2">
    <w:name w:val="toc 2"/>
    <w:basedOn w:val="Normal"/>
    <w:next w:val="Normal"/>
    <w:autoRedefine/>
    <w:uiPriority w:val="39"/>
    <w:qFormat/>
    <w:rsid w:val="004A37D1"/>
    <w:pPr>
      <w:tabs>
        <w:tab w:val="right" w:pos="10348"/>
      </w:tabs>
      <w:spacing w:before="60" w:after="0" w:line="276" w:lineRule="auto"/>
      <w:ind w:left="210"/>
    </w:pPr>
    <w:rPr>
      <w:rFonts w:ascii="Arial" w:eastAsia="Times New Roman" w:hAnsi="Arial" w:cs="Arial"/>
      <w:noProof/>
      <w:lang w:eastAsia="en-AU"/>
    </w:rPr>
  </w:style>
  <w:style w:type="paragraph" w:customStyle="1" w:styleId="TOC31">
    <w:name w:val="TOC 31"/>
    <w:basedOn w:val="Normal"/>
    <w:next w:val="Normal"/>
    <w:autoRedefine/>
    <w:uiPriority w:val="39"/>
    <w:qFormat/>
    <w:rsid w:val="004A37D1"/>
    <w:pPr>
      <w:spacing w:after="0" w:line="276" w:lineRule="auto"/>
      <w:ind w:left="420"/>
    </w:pPr>
    <w:rPr>
      <w:rFonts w:eastAsia="Times New Roman" w:cs="Arial"/>
      <w:sz w:val="20"/>
      <w:szCs w:val="20"/>
      <w:lang w:eastAsia="en-AU"/>
    </w:rPr>
  </w:style>
  <w:style w:type="paragraph" w:customStyle="1" w:styleId="TOCHeading1">
    <w:name w:val="TOC Heading1"/>
    <w:next w:val="Normal"/>
    <w:uiPriority w:val="39"/>
    <w:unhideWhenUsed/>
    <w:qFormat/>
    <w:rsid w:val="004A37D1"/>
    <w:pPr>
      <w:pageBreakBefore/>
      <w:spacing w:after="180" w:line="276" w:lineRule="auto"/>
    </w:pPr>
    <w:rPr>
      <w:rFonts w:ascii="Arial" w:eastAsia="Times New Roman" w:hAnsi="Arial" w:cs="Arial"/>
      <w:bCs/>
      <w:iCs/>
      <w:noProof/>
      <w:color w:val="000000"/>
      <w:sz w:val="36"/>
      <w:szCs w:val="36"/>
      <w:lang w:eastAsia="en-AU"/>
    </w:rPr>
  </w:style>
  <w:style w:type="character" w:styleId="Hyperlink">
    <w:name w:val="Hyperlink"/>
    <w:uiPriority w:val="99"/>
    <w:unhideWhenUsed/>
    <w:rsid w:val="004A37D1"/>
    <w:rPr>
      <w:color w:val="0000FF"/>
      <w:u w:val="single"/>
    </w:rPr>
  </w:style>
  <w:style w:type="character" w:styleId="Strong">
    <w:name w:val="Strong"/>
    <w:uiPriority w:val="22"/>
    <w:qFormat/>
    <w:rsid w:val="004A37D1"/>
    <w:rPr>
      <w:b/>
      <w:bCs/>
    </w:rPr>
  </w:style>
  <w:style w:type="table" w:styleId="TableGrid">
    <w:name w:val="Table Grid"/>
    <w:basedOn w:val="TableNormal"/>
    <w:uiPriority w:val="39"/>
    <w:rsid w:val="004A37D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4A37D1"/>
    <w:pPr>
      <w:numPr>
        <w:numId w:val="2"/>
      </w:numPr>
      <w:spacing w:before="40" w:after="40" w:line="240" w:lineRule="auto"/>
      <w:ind w:left="426" w:hanging="284"/>
    </w:pPr>
    <w:rPr>
      <w:rFonts w:ascii="Arial" w:eastAsia="Times New Roman" w:hAnsi="Arial" w:cs="Arial"/>
      <w:sz w:val="19"/>
      <w:szCs w:val="19"/>
      <w:lang w:val="en-US" w:eastAsia="en-AU"/>
    </w:rPr>
  </w:style>
  <w:style w:type="paragraph" w:customStyle="1" w:styleId="Coverpagebranchname">
    <w:name w:val="Cover page: branch name"/>
    <w:qFormat/>
    <w:rsid w:val="004A37D1"/>
    <w:pPr>
      <w:spacing w:after="200" w:line="240" w:lineRule="auto"/>
    </w:pPr>
    <w:rPr>
      <w:rFonts w:ascii="Arial" w:eastAsia="Times New Roman" w:hAnsi="Arial" w:cs="Arial"/>
      <w:bCs/>
      <w:color w:val="FFFFFF"/>
      <w:kern w:val="32"/>
      <w:sz w:val="28"/>
      <w:szCs w:val="28"/>
      <w:lang w:val="en-US" w:eastAsia="en-AU"/>
    </w:rPr>
  </w:style>
  <w:style w:type="paragraph" w:customStyle="1" w:styleId="Coverpagetitle">
    <w:name w:val="Cover page: title"/>
    <w:qFormat/>
    <w:rsid w:val="004A37D1"/>
    <w:pPr>
      <w:spacing w:after="500" w:line="240" w:lineRule="auto"/>
    </w:pPr>
    <w:rPr>
      <w:rFonts w:ascii="Arial" w:eastAsia="Times New Roman" w:hAnsi="Arial" w:cs="Arial"/>
      <w:bCs/>
      <w:color w:val="FFFFFF"/>
      <w:kern w:val="32"/>
      <w:sz w:val="60"/>
      <w:szCs w:val="60"/>
      <w:lang w:val="en-US" w:eastAsia="en-AU"/>
    </w:rPr>
  </w:style>
  <w:style w:type="paragraph" w:customStyle="1" w:styleId="Coverpageyear">
    <w:name w:val="Cover page: year"/>
    <w:qFormat/>
    <w:rsid w:val="004A37D1"/>
    <w:pPr>
      <w:spacing w:after="120" w:line="240" w:lineRule="auto"/>
    </w:pPr>
    <w:rPr>
      <w:rFonts w:ascii="Arial" w:eastAsia="Times New Roman" w:hAnsi="Arial" w:cs="Arial"/>
      <w:color w:val="FFFFFF"/>
      <w:sz w:val="28"/>
      <w:szCs w:val="28"/>
      <w:lang w:eastAsia="en-AU"/>
    </w:rPr>
  </w:style>
  <w:style w:type="numbering" w:customStyle="1" w:styleId="Headings">
    <w:name w:val="Headings"/>
    <w:uiPriority w:val="99"/>
    <w:rsid w:val="004A37D1"/>
    <w:pPr>
      <w:numPr>
        <w:numId w:val="3"/>
      </w:numPr>
    </w:pPr>
  </w:style>
  <w:style w:type="paragraph" w:styleId="EndnoteText">
    <w:name w:val="endnote text"/>
    <w:basedOn w:val="Normal"/>
    <w:link w:val="EndnoteTextChar"/>
    <w:uiPriority w:val="99"/>
    <w:unhideWhenUsed/>
    <w:rsid w:val="004A37D1"/>
    <w:pPr>
      <w:spacing w:after="40" w:line="240" w:lineRule="auto"/>
    </w:pPr>
    <w:rPr>
      <w:rFonts w:ascii="Arial" w:eastAsia="Times New Roman" w:hAnsi="Arial" w:cs="Arial"/>
      <w:sz w:val="18"/>
      <w:szCs w:val="18"/>
      <w:lang w:eastAsia="en-AU"/>
    </w:rPr>
  </w:style>
  <w:style w:type="character" w:customStyle="1" w:styleId="EndnoteTextChar">
    <w:name w:val="Endnote Text Char"/>
    <w:basedOn w:val="DefaultParagraphFont"/>
    <w:link w:val="EndnoteText"/>
    <w:uiPriority w:val="99"/>
    <w:rsid w:val="004A37D1"/>
    <w:rPr>
      <w:rFonts w:ascii="Arial" w:eastAsia="Times New Roman" w:hAnsi="Arial" w:cs="Arial"/>
      <w:sz w:val="18"/>
      <w:szCs w:val="18"/>
      <w:lang w:eastAsia="en-AU"/>
    </w:rPr>
  </w:style>
  <w:style w:type="character" w:styleId="EndnoteReference">
    <w:name w:val="endnote reference"/>
    <w:uiPriority w:val="99"/>
    <w:unhideWhenUsed/>
    <w:rsid w:val="004A37D1"/>
    <w:rPr>
      <w:sz w:val="16"/>
      <w:szCs w:val="16"/>
    </w:rPr>
  </w:style>
  <w:style w:type="character" w:styleId="SubtleReference">
    <w:name w:val="Subtle Reference"/>
    <w:aliases w:val="Legislation"/>
    <w:uiPriority w:val="31"/>
    <w:rsid w:val="004A37D1"/>
    <w:rPr>
      <w:i/>
    </w:rPr>
  </w:style>
  <w:style w:type="character" w:styleId="IntenseEmphasis">
    <w:name w:val="Intense Emphasis"/>
    <w:uiPriority w:val="21"/>
    <w:rsid w:val="004A37D1"/>
    <w:rPr>
      <w:i/>
    </w:rPr>
  </w:style>
  <w:style w:type="character" w:styleId="PlaceholderText">
    <w:name w:val="Placeholder Text"/>
    <w:uiPriority w:val="99"/>
    <w:semiHidden/>
    <w:rsid w:val="004A37D1"/>
    <w:rPr>
      <w:color w:val="808080"/>
    </w:rPr>
  </w:style>
  <w:style w:type="paragraph" w:styleId="BalloonText">
    <w:name w:val="Balloon Text"/>
    <w:basedOn w:val="Normal"/>
    <w:link w:val="BalloonTextChar"/>
    <w:uiPriority w:val="99"/>
    <w:semiHidden/>
    <w:unhideWhenUsed/>
    <w:rsid w:val="004A37D1"/>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4A37D1"/>
    <w:rPr>
      <w:rFonts w:ascii="Tahoma" w:eastAsia="Times New Roman" w:hAnsi="Tahoma" w:cs="Tahoma"/>
      <w:sz w:val="16"/>
      <w:szCs w:val="16"/>
      <w:lang w:eastAsia="en-AU"/>
    </w:rPr>
  </w:style>
  <w:style w:type="paragraph" w:styleId="BlockText">
    <w:name w:val="Block Text"/>
    <w:basedOn w:val="Normal"/>
    <w:uiPriority w:val="99"/>
    <w:unhideWhenUsed/>
    <w:rsid w:val="004A37D1"/>
    <w:pPr>
      <w:pBdr>
        <w:top w:val="single" w:sz="2" w:space="1" w:color="5C215E"/>
        <w:bottom w:val="single" w:sz="2" w:space="1" w:color="5C215E"/>
      </w:pBdr>
      <w:spacing w:before="300" w:after="300" w:line="276" w:lineRule="auto"/>
      <w:ind w:right="126"/>
    </w:pPr>
    <w:rPr>
      <w:rFonts w:ascii="Arial" w:eastAsia="Times New Roman" w:hAnsi="Arial" w:cs="Arial"/>
      <w:i/>
      <w:color w:val="55C5CA"/>
      <w:sz w:val="24"/>
      <w:szCs w:val="24"/>
      <w:lang w:eastAsia="en-AU"/>
    </w:rPr>
  </w:style>
  <w:style w:type="paragraph" w:customStyle="1" w:styleId="bullet">
    <w:name w:val="bullet"/>
    <w:basedOn w:val="ListBullet"/>
    <w:qFormat/>
    <w:rsid w:val="004A37D1"/>
  </w:style>
  <w:style w:type="paragraph" w:customStyle="1" w:styleId="secondarybullet">
    <w:name w:val="secondary bullet"/>
    <w:basedOn w:val="Normal"/>
    <w:qFormat/>
    <w:rsid w:val="004A37D1"/>
    <w:pPr>
      <w:numPr>
        <w:ilvl w:val="3"/>
        <w:numId w:val="4"/>
      </w:numPr>
      <w:tabs>
        <w:tab w:val="left" w:pos="1134"/>
      </w:tabs>
      <w:autoSpaceDE w:val="0"/>
      <w:autoSpaceDN w:val="0"/>
      <w:adjustRightInd w:val="0"/>
      <w:spacing w:after="0" w:line="240" w:lineRule="auto"/>
      <w:ind w:left="1134" w:hanging="567"/>
    </w:pPr>
    <w:rPr>
      <w:rFonts w:ascii="Arial" w:eastAsia="Times New Roman" w:hAnsi="Arial" w:cs="Arial"/>
      <w:color w:val="000000"/>
      <w:lang w:eastAsia="en-AU"/>
    </w:rPr>
  </w:style>
  <w:style w:type="paragraph" w:styleId="ListParagraph">
    <w:name w:val="List Paragraph"/>
    <w:aliases w:val="List Paragraph1,List Paragraph11,Recommendation,Bullet point,Bulleted List,NAST Quote,List Paragraph Number,Bulleted Para,NFP GP Bulleted List,bullet point list,L,Bullet points,Content descriptions,Bullet Point,List Paragraph2,Dot pt,列出段落"/>
    <w:basedOn w:val="Normal"/>
    <w:link w:val="ListParagraphChar"/>
    <w:uiPriority w:val="34"/>
    <w:qFormat/>
    <w:rsid w:val="004A37D1"/>
    <w:pPr>
      <w:spacing w:after="200" w:line="276" w:lineRule="auto"/>
      <w:ind w:left="720"/>
      <w:contextualSpacing/>
    </w:pPr>
    <w:rPr>
      <w:rFonts w:ascii="Arial" w:eastAsia="Times New Roman" w:hAnsi="Arial" w:cs="Arial"/>
      <w:sz w:val="21"/>
      <w:szCs w:val="21"/>
      <w:lang w:eastAsia="en-AU"/>
    </w:rPr>
  </w:style>
  <w:style w:type="paragraph" w:customStyle="1" w:styleId="TableParagraph">
    <w:name w:val="Table Paragraph"/>
    <w:basedOn w:val="Normal"/>
    <w:uiPriority w:val="1"/>
    <w:qFormat/>
    <w:rsid w:val="004A37D1"/>
    <w:pPr>
      <w:widowControl w:val="0"/>
      <w:spacing w:after="0" w:line="240" w:lineRule="auto"/>
    </w:pPr>
    <w:rPr>
      <w:rFonts w:ascii="Calibri" w:eastAsia="Calibri" w:hAnsi="Calibri" w:cs="Times New Roman"/>
    </w:rPr>
  </w:style>
  <w:style w:type="numbering" w:customStyle="1" w:styleId="NoList11">
    <w:name w:val="No List11"/>
    <w:next w:val="NoList"/>
    <w:uiPriority w:val="99"/>
    <w:semiHidden/>
    <w:unhideWhenUsed/>
    <w:rsid w:val="004A37D1"/>
  </w:style>
  <w:style w:type="numbering" w:customStyle="1" w:styleId="NoList2">
    <w:name w:val="No List2"/>
    <w:next w:val="NoList"/>
    <w:uiPriority w:val="99"/>
    <w:semiHidden/>
    <w:unhideWhenUsed/>
    <w:rsid w:val="004A37D1"/>
  </w:style>
  <w:style w:type="numbering" w:customStyle="1" w:styleId="NoList3">
    <w:name w:val="No List3"/>
    <w:next w:val="NoList"/>
    <w:uiPriority w:val="99"/>
    <w:semiHidden/>
    <w:unhideWhenUsed/>
    <w:rsid w:val="004A37D1"/>
  </w:style>
  <w:style w:type="table" w:customStyle="1" w:styleId="TableGrid1">
    <w:name w:val="Table Grid1"/>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4A37D1"/>
    <w:pPr>
      <w:spacing w:after="0" w:line="276" w:lineRule="auto"/>
      <w:ind w:left="630"/>
    </w:pPr>
    <w:rPr>
      <w:rFonts w:eastAsia="Times New Roman" w:cs="Arial"/>
      <w:sz w:val="20"/>
      <w:szCs w:val="20"/>
      <w:lang w:eastAsia="en-AU"/>
    </w:rPr>
  </w:style>
  <w:style w:type="paragraph" w:customStyle="1" w:styleId="TOC51">
    <w:name w:val="TOC 51"/>
    <w:basedOn w:val="Normal"/>
    <w:next w:val="Normal"/>
    <w:autoRedefine/>
    <w:uiPriority w:val="39"/>
    <w:unhideWhenUsed/>
    <w:locked/>
    <w:rsid w:val="004A37D1"/>
    <w:pPr>
      <w:spacing w:after="0" w:line="276" w:lineRule="auto"/>
      <w:ind w:left="840"/>
    </w:pPr>
    <w:rPr>
      <w:rFonts w:eastAsia="Times New Roman" w:cs="Arial"/>
      <w:sz w:val="20"/>
      <w:szCs w:val="20"/>
      <w:lang w:eastAsia="en-AU"/>
    </w:rPr>
  </w:style>
  <w:style w:type="paragraph" w:customStyle="1" w:styleId="TOC61">
    <w:name w:val="TOC 61"/>
    <w:basedOn w:val="Normal"/>
    <w:next w:val="Normal"/>
    <w:autoRedefine/>
    <w:uiPriority w:val="39"/>
    <w:unhideWhenUsed/>
    <w:locked/>
    <w:rsid w:val="004A37D1"/>
    <w:pPr>
      <w:spacing w:after="0" w:line="276" w:lineRule="auto"/>
      <w:ind w:left="1050"/>
    </w:pPr>
    <w:rPr>
      <w:rFonts w:eastAsia="Times New Roman" w:cs="Arial"/>
      <w:sz w:val="20"/>
      <w:szCs w:val="20"/>
      <w:lang w:eastAsia="en-AU"/>
    </w:rPr>
  </w:style>
  <w:style w:type="paragraph" w:customStyle="1" w:styleId="TOC71">
    <w:name w:val="TOC 71"/>
    <w:basedOn w:val="Normal"/>
    <w:next w:val="Normal"/>
    <w:autoRedefine/>
    <w:uiPriority w:val="39"/>
    <w:unhideWhenUsed/>
    <w:locked/>
    <w:rsid w:val="004A37D1"/>
    <w:pPr>
      <w:spacing w:after="0" w:line="276" w:lineRule="auto"/>
      <w:ind w:left="1260"/>
    </w:pPr>
    <w:rPr>
      <w:rFonts w:eastAsia="Times New Roman" w:cs="Arial"/>
      <w:sz w:val="20"/>
      <w:szCs w:val="20"/>
      <w:lang w:eastAsia="en-AU"/>
    </w:rPr>
  </w:style>
  <w:style w:type="paragraph" w:customStyle="1" w:styleId="TOC81">
    <w:name w:val="TOC 81"/>
    <w:basedOn w:val="Normal"/>
    <w:next w:val="Normal"/>
    <w:autoRedefine/>
    <w:uiPriority w:val="39"/>
    <w:unhideWhenUsed/>
    <w:locked/>
    <w:rsid w:val="004A37D1"/>
    <w:pPr>
      <w:spacing w:after="0" w:line="276" w:lineRule="auto"/>
      <w:ind w:left="1470"/>
    </w:pPr>
    <w:rPr>
      <w:rFonts w:eastAsia="Times New Roman" w:cs="Arial"/>
      <w:sz w:val="20"/>
      <w:szCs w:val="20"/>
      <w:lang w:eastAsia="en-AU"/>
    </w:rPr>
  </w:style>
  <w:style w:type="paragraph" w:customStyle="1" w:styleId="TOC91">
    <w:name w:val="TOC 91"/>
    <w:basedOn w:val="Normal"/>
    <w:next w:val="Normal"/>
    <w:autoRedefine/>
    <w:uiPriority w:val="39"/>
    <w:unhideWhenUsed/>
    <w:locked/>
    <w:rsid w:val="004A37D1"/>
    <w:pPr>
      <w:spacing w:after="0" w:line="276" w:lineRule="auto"/>
      <w:ind w:left="1680"/>
    </w:pPr>
    <w:rPr>
      <w:rFonts w:eastAsia="Times New Roman" w:cs="Arial"/>
      <w:sz w:val="20"/>
      <w:szCs w:val="20"/>
      <w:lang w:eastAsia="en-AU"/>
    </w:rPr>
  </w:style>
  <w:style w:type="paragraph" w:styleId="NormalWeb">
    <w:name w:val="Normal (Web)"/>
    <w:basedOn w:val="Normal"/>
    <w:uiPriority w:val="99"/>
    <w:semiHidden/>
    <w:unhideWhenUsed/>
    <w:rsid w:val="004A37D1"/>
    <w:pPr>
      <w:spacing w:before="120" w:after="24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A37D1"/>
    <w:rPr>
      <w:sz w:val="16"/>
      <w:szCs w:val="16"/>
    </w:rPr>
  </w:style>
  <w:style w:type="paragraph" w:customStyle="1" w:styleId="CommentText1">
    <w:name w:val="Comment Text1"/>
    <w:basedOn w:val="Normal"/>
    <w:next w:val="CommentText"/>
    <w:link w:val="CommentTextChar"/>
    <w:uiPriority w:val="99"/>
    <w:unhideWhenUsed/>
    <w:locked/>
    <w:rsid w:val="004A37D1"/>
    <w:pPr>
      <w:spacing w:line="240" w:lineRule="auto"/>
    </w:pPr>
    <w:rPr>
      <w:rFonts w:ascii="Calibri" w:eastAsia="Calibri" w:hAnsi="Calibri" w:cs="Times New Roman"/>
    </w:rPr>
  </w:style>
  <w:style w:type="character" w:customStyle="1" w:styleId="CommentTextChar">
    <w:name w:val="Comment Text Char"/>
    <w:basedOn w:val="DefaultParagraphFont"/>
    <w:link w:val="CommentText1"/>
    <w:uiPriority w:val="99"/>
    <w:rsid w:val="004A37D1"/>
    <w:rPr>
      <w:rFonts w:ascii="Calibri" w:eastAsia="Calibri" w:hAnsi="Calibri" w:cs="Times New Roman"/>
      <w:lang w:eastAsia="en-US"/>
    </w:rPr>
  </w:style>
  <w:style w:type="table" w:customStyle="1" w:styleId="TableGrid2">
    <w:name w:val="Table Grid2"/>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locked/>
    <w:rsid w:val="004A37D1"/>
    <w:rPr>
      <w:color w:val="800080"/>
      <w:u w:val="single"/>
    </w:rPr>
  </w:style>
  <w:style w:type="paragraph" w:styleId="CommentText">
    <w:name w:val="annotation text"/>
    <w:basedOn w:val="Normal"/>
    <w:link w:val="CommentTextChar1"/>
    <w:uiPriority w:val="99"/>
    <w:semiHidden/>
    <w:unhideWhenUsed/>
    <w:rsid w:val="004A37D1"/>
    <w:pPr>
      <w:spacing w:line="240" w:lineRule="auto"/>
    </w:pPr>
    <w:rPr>
      <w:sz w:val="20"/>
      <w:szCs w:val="20"/>
    </w:rPr>
  </w:style>
  <w:style w:type="character" w:customStyle="1" w:styleId="CommentTextChar1">
    <w:name w:val="Comment Text Char1"/>
    <w:basedOn w:val="DefaultParagraphFont"/>
    <w:link w:val="CommentText"/>
    <w:uiPriority w:val="99"/>
    <w:semiHidden/>
    <w:rsid w:val="004A37D1"/>
    <w:rPr>
      <w:sz w:val="20"/>
      <w:szCs w:val="20"/>
    </w:rPr>
  </w:style>
  <w:style w:type="paragraph" w:styleId="CommentSubject">
    <w:name w:val="annotation subject"/>
    <w:basedOn w:val="CommentText"/>
    <w:next w:val="CommentText"/>
    <w:link w:val="CommentSubjectChar"/>
    <w:uiPriority w:val="99"/>
    <w:semiHidden/>
    <w:unhideWhenUsed/>
    <w:rsid w:val="004A37D1"/>
    <w:pPr>
      <w:spacing w:after="200"/>
    </w:pPr>
    <w:rPr>
      <w:rFonts w:ascii="Arial" w:eastAsia="Times New Roman" w:hAnsi="Arial" w:cs="Arial"/>
      <w:b/>
      <w:bCs/>
      <w:lang w:val="en-US" w:eastAsia="en-AU"/>
    </w:rPr>
  </w:style>
  <w:style w:type="character" w:customStyle="1" w:styleId="CommentSubjectChar">
    <w:name w:val="Comment Subject Char"/>
    <w:basedOn w:val="CommentTextChar1"/>
    <w:link w:val="CommentSubject"/>
    <w:uiPriority w:val="99"/>
    <w:semiHidden/>
    <w:rsid w:val="004A37D1"/>
    <w:rPr>
      <w:rFonts w:ascii="Arial" w:eastAsia="Times New Roman" w:hAnsi="Arial" w:cs="Arial"/>
      <w:b/>
      <w:bCs/>
      <w:sz w:val="20"/>
      <w:szCs w:val="20"/>
      <w:lang w:val="en-US" w:eastAsia="en-AU"/>
    </w:rPr>
  </w:style>
  <w:style w:type="paragraph" w:styleId="Revision">
    <w:name w:val="Revision"/>
    <w:hidden/>
    <w:uiPriority w:val="99"/>
    <w:semiHidden/>
    <w:rsid w:val="004A37D1"/>
    <w:pPr>
      <w:spacing w:after="0" w:line="240" w:lineRule="auto"/>
    </w:pPr>
    <w:rPr>
      <w:rFonts w:ascii="Arial" w:eastAsia="Times New Roman" w:hAnsi="Arial" w:cs="Arial"/>
      <w:sz w:val="21"/>
      <w:szCs w:val="21"/>
      <w:lang w:eastAsia="en-AU"/>
    </w:rPr>
  </w:style>
  <w:style w:type="numbering" w:customStyle="1" w:styleId="NoList4">
    <w:name w:val="No List4"/>
    <w:next w:val="NoList"/>
    <w:uiPriority w:val="99"/>
    <w:semiHidden/>
    <w:unhideWhenUsed/>
    <w:rsid w:val="004A37D1"/>
  </w:style>
  <w:style w:type="paragraph" w:customStyle="1" w:styleId="Default">
    <w:name w:val="Default"/>
    <w:rsid w:val="004A37D1"/>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FootnoteReference">
    <w:name w:val="footnote reference"/>
    <w:basedOn w:val="DefaultParagraphFont"/>
    <w:uiPriority w:val="99"/>
    <w:semiHidden/>
    <w:unhideWhenUsed/>
    <w:rsid w:val="004A37D1"/>
    <w:rPr>
      <w:vertAlign w:val="superscript"/>
    </w:rPr>
  </w:style>
  <w:style w:type="character" w:customStyle="1" w:styleId="UnresolvedMention1">
    <w:name w:val="Unresolved Mention1"/>
    <w:basedOn w:val="DefaultParagraphFont"/>
    <w:uiPriority w:val="99"/>
    <w:semiHidden/>
    <w:unhideWhenUsed/>
    <w:rsid w:val="004A37D1"/>
    <w:rPr>
      <w:color w:val="605E5C"/>
      <w:shd w:val="clear" w:color="auto" w:fill="E1DFDD"/>
    </w:rPr>
  </w:style>
  <w:style w:type="numbering" w:customStyle="1" w:styleId="NoList5">
    <w:name w:val="No List5"/>
    <w:next w:val="NoList"/>
    <w:uiPriority w:val="99"/>
    <w:semiHidden/>
    <w:unhideWhenUsed/>
    <w:rsid w:val="004A37D1"/>
  </w:style>
  <w:style w:type="numbering" w:customStyle="1" w:styleId="NoList6">
    <w:name w:val="No List6"/>
    <w:next w:val="NoList"/>
    <w:uiPriority w:val="99"/>
    <w:semiHidden/>
    <w:unhideWhenUsed/>
    <w:rsid w:val="004A37D1"/>
  </w:style>
  <w:style w:type="numbering" w:customStyle="1" w:styleId="NoList7">
    <w:name w:val="No List7"/>
    <w:next w:val="NoList"/>
    <w:uiPriority w:val="99"/>
    <w:semiHidden/>
    <w:unhideWhenUsed/>
    <w:rsid w:val="004A37D1"/>
  </w:style>
  <w:style w:type="numbering" w:customStyle="1" w:styleId="NoList8">
    <w:name w:val="No List8"/>
    <w:next w:val="NoList"/>
    <w:uiPriority w:val="99"/>
    <w:semiHidden/>
    <w:unhideWhenUsed/>
    <w:rsid w:val="004A37D1"/>
  </w:style>
  <w:style w:type="paragraph" w:customStyle="1" w:styleId="Paragraph">
    <w:name w:val="Paragraph"/>
    <w:basedOn w:val="Normal"/>
    <w:qFormat/>
    <w:rsid w:val="004A37D1"/>
    <w:pPr>
      <w:overflowPunct w:val="0"/>
      <w:autoSpaceDE w:val="0"/>
      <w:autoSpaceDN w:val="0"/>
      <w:adjustRightInd w:val="0"/>
      <w:spacing w:after="200" w:line="240" w:lineRule="auto"/>
      <w:ind w:left="567" w:hanging="567"/>
    </w:pPr>
    <w:rPr>
      <w:rFonts w:ascii="Arial" w:eastAsia="Times New Roman" w:hAnsi="Arial" w:cs="Times New Roman"/>
      <w:szCs w:val="20"/>
    </w:rPr>
  </w:style>
  <w:style w:type="character" w:styleId="Emphasis">
    <w:name w:val="Emphasis"/>
    <w:basedOn w:val="DefaultParagraphFont"/>
    <w:uiPriority w:val="20"/>
    <w:qFormat/>
    <w:rsid w:val="004A37D1"/>
    <w:rPr>
      <w:i/>
      <w:iCs/>
    </w:rPr>
  </w:style>
  <w:style w:type="table" w:customStyle="1" w:styleId="TableGrid4">
    <w:name w:val="Table Grid4"/>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qFormat/>
    <w:rsid w:val="004A37D1"/>
    <w:pPr>
      <w:numPr>
        <w:numId w:val="5"/>
      </w:numPr>
      <w:spacing w:after="113" w:line="240" w:lineRule="auto"/>
      <w:ind w:left="360"/>
    </w:pPr>
    <w:rPr>
      <w:rFonts w:ascii="Arial" w:hAnsi="Arial" w:cs="Arial"/>
    </w:rPr>
  </w:style>
  <w:style w:type="paragraph" w:customStyle="1" w:styleId="Tablebody">
    <w:name w:val="Table body"/>
    <w:basedOn w:val="Normal"/>
    <w:qFormat/>
    <w:rsid w:val="004A37D1"/>
    <w:pPr>
      <w:spacing w:after="227" w:line="240" w:lineRule="auto"/>
    </w:pPr>
    <w:rPr>
      <w:rFonts w:ascii="Arial" w:hAnsi="Arial" w:cs="Arial"/>
      <w:sz w:val="20"/>
      <w:szCs w:val="20"/>
    </w:rPr>
  </w:style>
  <w:style w:type="table" w:customStyle="1" w:styleId="TableGrid7">
    <w:name w:val="Table Grid7"/>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37D1"/>
    <w:rPr>
      <w:color w:val="605E5C"/>
      <w:shd w:val="clear" w:color="auto" w:fill="E1DFDD"/>
    </w:rPr>
  </w:style>
  <w:style w:type="character" w:customStyle="1" w:styleId="ListParagraphChar">
    <w:name w:val="List Paragraph Char"/>
    <w:aliases w:val="List Paragraph1 Char,List Paragraph11 Char,Recommendation Char,Bullet point Char,Bulleted List Char,NAST Quote Char,List Paragraph Number Char,Bulleted Para Char,NFP GP Bulleted List Char,bullet point list Char,L Char,Dot pt Char"/>
    <w:link w:val="ListParagraph"/>
    <w:uiPriority w:val="34"/>
    <w:locked/>
    <w:rsid w:val="004A37D1"/>
    <w:rPr>
      <w:rFonts w:ascii="Arial" w:eastAsia="Times New Roman" w:hAnsi="Arial" w:cs="Arial"/>
      <w:sz w:val="21"/>
      <w:szCs w:val="21"/>
      <w:lang w:eastAsia="en-AU"/>
    </w:rPr>
  </w:style>
  <w:style w:type="paragraph" w:customStyle="1" w:styleId="PortfolioBullet">
    <w:name w:val="Portfolio_Bullet"/>
    <w:basedOn w:val="Normal"/>
    <w:rsid w:val="004A37D1"/>
    <w:pPr>
      <w:keepLines/>
      <w:numPr>
        <w:numId w:val="6"/>
      </w:numPr>
      <w:spacing w:after="240" w:line="240" w:lineRule="auto"/>
      <w:jc w:val="both"/>
    </w:pPr>
    <w:rPr>
      <w:rFonts w:ascii="Arial" w:eastAsia="Times New Roman" w:hAnsi="Arial" w:cs="Times New Roman"/>
      <w:szCs w:val="20"/>
    </w:rPr>
  </w:style>
  <w:style w:type="paragraph" w:customStyle="1" w:styleId="PortfolioBullet2">
    <w:name w:val="Portfolio_Bullet2"/>
    <w:basedOn w:val="Normal"/>
    <w:rsid w:val="004A37D1"/>
    <w:pPr>
      <w:keepLines/>
      <w:numPr>
        <w:ilvl w:val="1"/>
        <w:numId w:val="6"/>
      </w:numPr>
      <w:spacing w:after="240" w:line="240" w:lineRule="auto"/>
      <w:jc w:val="both"/>
    </w:pPr>
    <w:rPr>
      <w:rFonts w:ascii="Arial" w:eastAsia="Times New Roman" w:hAnsi="Arial" w:cs="Times New Roman"/>
      <w:szCs w:val="20"/>
    </w:rPr>
  </w:style>
  <w:style w:type="paragraph" w:customStyle="1" w:styleId="PortfolioBullet3">
    <w:name w:val="Portfolio_Bullet3"/>
    <w:basedOn w:val="Normal"/>
    <w:rsid w:val="004A37D1"/>
    <w:pPr>
      <w:keepLines/>
      <w:numPr>
        <w:ilvl w:val="2"/>
        <w:numId w:val="6"/>
      </w:numPr>
      <w:spacing w:after="240" w:line="240" w:lineRule="auto"/>
      <w:jc w:val="both"/>
    </w:pPr>
    <w:rPr>
      <w:rFonts w:ascii="Arial" w:eastAsia="Times New Roman" w:hAnsi="Arial" w:cs="Times New Roman"/>
      <w:szCs w:val="20"/>
    </w:rPr>
  </w:style>
  <w:style w:type="character" w:customStyle="1" w:styleId="normaltextrun1">
    <w:name w:val="normaltextrun1"/>
    <w:basedOn w:val="DefaultParagraphFont"/>
    <w:rsid w:val="004A37D1"/>
  </w:style>
  <w:style w:type="paragraph" w:customStyle="1" w:styleId="paragraph0">
    <w:name w:val="paragraph"/>
    <w:basedOn w:val="Normal"/>
    <w:rsid w:val="004A37D1"/>
    <w:pPr>
      <w:spacing w:after="0"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4A37D1"/>
  </w:style>
  <w:style w:type="paragraph" w:styleId="FootnoteText">
    <w:name w:val="footnote text"/>
    <w:basedOn w:val="Normal"/>
    <w:link w:val="FootnoteTextChar"/>
    <w:uiPriority w:val="99"/>
    <w:semiHidden/>
    <w:unhideWhenUsed/>
    <w:rsid w:val="004A37D1"/>
    <w:pPr>
      <w:spacing w:after="0" w:line="240" w:lineRule="auto"/>
    </w:pPr>
    <w:rPr>
      <w:rFonts w:ascii="Arial" w:eastAsia="Times New Roman" w:hAnsi="Arial" w:cs="Arial"/>
      <w:sz w:val="20"/>
      <w:szCs w:val="20"/>
      <w:lang w:eastAsia="en-AU"/>
    </w:rPr>
  </w:style>
  <w:style w:type="character" w:customStyle="1" w:styleId="FootnoteTextChar">
    <w:name w:val="Footnote Text Char"/>
    <w:basedOn w:val="DefaultParagraphFont"/>
    <w:link w:val="FootnoteText"/>
    <w:uiPriority w:val="99"/>
    <w:semiHidden/>
    <w:rsid w:val="004A37D1"/>
    <w:rPr>
      <w:rFonts w:ascii="Arial" w:eastAsia="Times New Roman" w:hAnsi="Arial" w:cs="Arial"/>
      <w:sz w:val="20"/>
      <w:szCs w:val="20"/>
      <w:lang w:eastAsia="en-AU"/>
    </w:rPr>
  </w:style>
  <w:style w:type="numbering" w:customStyle="1" w:styleId="NoList9">
    <w:name w:val="No List9"/>
    <w:next w:val="NoList"/>
    <w:uiPriority w:val="99"/>
    <w:semiHidden/>
    <w:unhideWhenUsed/>
    <w:rsid w:val="004A37D1"/>
  </w:style>
  <w:style w:type="table" w:customStyle="1" w:styleId="Tablestyle-header1">
    <w:name w:val="Table style - header1"/>
    <w:basedOn w:val="TableNormal"/>
    <w:uiPriority w:val="99"/>
    <w:rsid w:val="004A37D1"/>
    <w:pPr>
      <w:spacing w:after="0" w:line="240" w:lineRule="auto"/>
    </w:pPr>
    <w:rPr>
      <w:rFonts w:ascii="Arial" w:eastAsia="Times New Roman" w:hAnsi="Arial" w:cs="Times New Roman"/>
      <w:sz w:val="20"/>
      <w:szCs w:val="20"/>
      <w:lang w:eastAsia="en-AU"/>
    </w:rPr>
    <w:tblPr/>
  </w:style>
  <w:style w:type="table" w:customStyle="1" w:styleId="TableGrid13">
    <w:name w:val="Table Grid13"/>
    <w:basedOn w:val="TableNormal"/>
    <w:next w:val="TableGrid"/>
    <w:locked/>
    <w:rsid w:val="004A37D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A37D1"/>
  </w:style>
  <w:style w:type="numbering" w:customStyle="1" w:styleId="NoList21">
    <w:name w:val="No List21"/>
    <w:next w:val="NoList"/>
    <w:uiPriority w:val="99"/>
    <w:semiHidden/>
    <w:unhideWhenUsed/>
    <w:rsid w:val="004A37D1"/>
  </w:style>
  <w:style w:type="numbering" w:customStyle="1" w:styleId="NoList31">
    <w:name w:val="No List31"/>
    <w:next w:val="NoList"/>
    <w:uiPriority w:val="99"/>
    <w:semiHidden/>
    <w:unhideWhenUsed/>
    <w:rsid w:val="004A37D1"/>
  </w:style>
  <w:style w:type="table" w:customStyle="1" w:styleId="TableGrid14">
    <w:name w:val="Table Grid14"/>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4A37D1"/>
  </w:style>
  <w:style w:type="numbering" w:customStyle="1" w:styleId="NoList51">
    <w:name w:val="No List51"/>
    <w:next w:val="NoList"/>
    <w:uiPriority w:val="99"/>
    <w:semiHidden/>
    <w:unhideWhenUsed/>
    <w:rsid w:val="004A37D1"/>
  </w:style>
  <w:style w:type="numbering" w:customStyle="1" w:styleId="NoList61">
    <w:name w:val="No List61"/>
    <w:next w:val="NoList"/>
    <w:uiPriority w:val="99"/>
    <w:semiHidden/>
    <w:unhideWhenUsed/>
    <w:rsid w:val="004A37D1"/>
  </w:style>
  <w:style w:type="numbering" w:customStyle="1" w:styleId="NoList71">
    <w:name w:val="No List71"/>
    <w:next w:val="NoList"/>
    <w:uiPriority w:val="99"/>
    <w:semiHidden/>
    <w:unhideWhenUsed/>
    <w:rsid w:val="004A37D1"/>
  </w:style>
  <w:style w:type="numbering" w:customStyle="1" w:styleId="NoList81">
    <w:name w:val="No List81"/>
    <w:next w:val="NoList"/>
    <w:uiPriority w:val="99"/>
    <w:semiHidden/>
    <w:unhideWhenUsed/>
    <w:rsid w:val="004A37D1"/>
  </w:style>
  <w:style w:type="table" w:customStyle="1" w:styleId="TableGrid41">
    <w:name w:val="Table Grid41"/>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qFormat/>
    <w:rsid w:val="004A37D1"/>
    <w:pPr>
      <w:spacing w:after="0" w:line="240" w:lineRule="auto"/>
    </w:pPr>
    <w:rPr>
      <w:rFonts w:ascii="Arial" w:hAnsi="Arial" w:cs="Arial"/>
      <w:b/>
      <w:sz w:val="56"/>
      <w:szCs w:val="56"/>
    </w:rPr>
  </w:style>
  <w:style w:type="paragraph" w:customStyle="1" w:styleId="H2">
    <w:name w:val="H2"/>
    <w:qFormat/>
    <w:rsid w:val="004A37D1"/>
    <w:pPr>
      <w:spacing w:after="0" w:line="240" w:lineRule="auto"/>
    </w:pPr>
    <w:rPr>
      <w:rFonts w:ascii="Arial" w:hAnsi="Arial" w:cs="Arial"/>
      <w:b/>
      <w:sz w:val="32"/>
      <w:szCs w:val="32"/>
    </w:rPr>
  </w:style>
  <w:style w:type="paragraph" w:customStyle="1" w:styleId="Bulletsindented">
    <w:name w:val="Bullets indented"/>
    <w:next w:val="Normal"/>
    <w:qFormat/>
    <w:rsid w:val="004A37D1"/>
    <w:pPr>
      <w:spacing w:after="0" w:line="240" w:lineRule="auto"/>
      <w:ind w:left="1440" w:hanging="360"/>
    </w:pPr>
    <w:rPr>
      <w:rFonts w:ascii="Arial" w:hAnsi="Arial" w:cs="Arial"/>
    </w:rPr>
  </w:style>
  <w:style w:type="paragraph" w:customStyle="1" w:styleId="BasicParagraph">
    <w:name w:val="[Basic Paragraph]"/>
    <w:basedOn w:val="Normal"/>
    <w:uiPriority w:val="99"/>
    <w:rsid w:val="004A37D1"/>
    <w:pPr>
      <w:autoSpaceDE w:val="0"/>
      <w:autoSpaceDN w:val="0"/>
      <w:adjustRightInd w:val="0"/>
      <w:spacing w:after="0" w:line="220" w:lineRule="atLeast"/>
      <w:textAlignment w:val="center"/>
    </w:pPr>
    <w:rPr>
      <w:rFonts w:ascii="MetaPro-Norm" w:eastAsia="Calibri" w:hAnsi="MetaPro-Norm" w:cs="MetaPro-Norm"/>
      <w:color w:val="000000"/>
      <w:sz w:val="18"/>
      <w:szCs w:val="18"/>
      <w:lang w:val="en-US"/>
    </w:rPr>
  </w:style>
  <w:style w:type="numbering" w:customStyle="1" w:styleId="NoList10">
    <w:name w:val="No List10"/>
    <w:next w:val="NoList"/>
    <w:uiPriority w:val="99"/>
    <w:semiHidden/>
    <w:unhideWhenUsed/>
    <w:rsid w:val="004A37D1"/>
  </w:style>
  <w:style w:type="paragraph" w:customStyle="1" w:styleId="Pa32">
    <w:name w:val="Pa32"/>
    <w:basedOn w:val="Default"/>
    <w:next w:val="Default"/>
    <w:uiPriority w:val="99"/>
    <w:rsid w:val="004A37D1"/>
    <w:pPr>
      <w:spacing w:line="201" w:lineRule="atLeast"/>
    </w:pPr>
    <w:rPr>
      <w:rFonts w:ascii="MetaPro-Bold" w:hAnsi="MetaPro-Bold" w:cs="Times New Roman"/>
      <w:color w:val="auto"/>
      <w:lang w:val="en-GB"/>
    </w:rPr>
  </w:style>
  <w:style w:type="paragraph" w:styleId="NoSpacing">
    <w:name w:val="No Spacing"/>
    <w:link w:val="NoSpacingChar"/>
    <w:uiPriority w:val="1"/>
    <w:qFormat/>
    <w:rsid w:val="004A37D1"/>
    <w:pPr>
      <w:spacing w:after="0" w:line="240" w:lineRule="auto"/>
    </w:pPr>
    <w:rPr>
      <w:rFonts w:ascii="Arial" w:eastAsia="Times New Roman" w:hAnsi="Arial" w:cs="Arial"/>
      <w:sz w:val="21"/>
      <w:szCs w:val="21"/>
      <w:lang w:eastAsia="en-AU"/>
    </w:rPr>
  </w:style>
  <w:style w:type="paragraph" w:customStyle="1" w:styleId="Pa33">
    <w:name w:val="Pa33"/>
    <w:basedOn w:val="Default"/>
    <w:next w:val="Default"/>
    <w:uiPriority w:val="99"/>
    <w:rsid w:val="004A37D1"/>
    <w:pPr>
      <w:spacing w:line="161" w:lineRule="atLeast"/>
    </w:pPr>
    <w:rPr>
      <w:rFonts w:ascii="MetaPro-Light" w:hAnsi="MetaPro-Light" w:cs="Times New Roman"/>
      <w:color w:val="auto"/>
      <w:lang w:val="en-GB"/>
    </w:rPr>
  </w:style>
  <w:style w:type="paragraph" w:customStyle="1" w:styleId="Chart">
    <w:name w:val="Chart"/>
    <w:qFormat/>
    <w:rsid w:val="004A37D1"/>
    <w:pPr>
      <w:spacing w:after="0" w:line="240" w:lineRule="auto"/>
      <w:jc w:val="center"/>
    </w:pPr>
    <w:rPr>
      <w:rFonts w:ascii="Arial" w:eastAsia="Times New Roman" w:hAnsi="Arial" w:cs="Arial"/>
      <w:color w:val="FFFFFF"/>
      <w:sz w:val="18"/>
      <w:szCs w:val="18"/>
      <w:lang w:eastAsia="en-AU"/>
    </w:rPr>
  </w:style>
  <w:style w:type="paragraph" w:customStyle="1" w:styleId="H1notlinked">
    <w:name w:val="H1 not linked"/>
    <w:qFormat/>
    <w:rsid w:val="004A37D1"/>
    <w:pPr>
      <w:spacing w:after="200" w:line="240" w:lineRule="auto"/>
    </w:pPr>
    <w:rPr>
      <w:rFonts w:ascii="Arial" w:eastAsia="Calibri" w:hAnsi="Arial" w:cs="Arial"/>
      <w:bCs/>
      <w:noProof/>
      <w:color w:val="262626"/>
      <w:kern w:val="32"/>
      <w:sz w:val="40"/>
      <w:szCs w:val="40"/>
    </w:rPr>
  </w:style>
  <w:style w:type="numbering" w:customStyle="1" w:styleId="NoList12">
    <w:name w:val="No List12"/>
    <w:next w:val="NoList"/>
    <w:uiPriority w:val="99"/>
    <w:semiHidden/>
    <w:unhideWhenUsed/>
    <w:rsid w:val="004A37D1"/>
  </w:style>
  <w:style w:type="paragraph" w:customStyle="1" w:styleId="NoteIndent">
    <w:name w:val="Note Indent"/>
    <w:basedOn w:val="Normal"/>
    <w:uiPriority w:val="22"/>
    <w:qFormat/>
    <w:rsid w:val="004A37D1"/>
    <w:pPr>
      <w:numPr>
        <w:numId w:val="11"/>
      </w:numPr>
      <w:tabs>
        <w:tab w:val="left" w:pos="357"/>
      </w:tabs>
      <w:spacing w:before="60" w:after="60" w:line="264" w:lineRule="auto"/>
    </w:pPr>
    <w:rPr>
      <w:rFonts w:ascii="Arial" w:hAnsi="Arial"/>
      <w:sz w:val="16"/>
      <w:szCs w:val="18"/>
    </w:rPr>
  </w:style>
  <w:style w:type="character" w:customStyle="1" w:styleId="Italics">
    <w:name w:val="Italics"/>
    <w:basedOn w:val="DefaultParagraphFont"/>
    <w:uiPriority w:val="1"/>
    <w:qFormat/>
    <w:rsid w:val="004A37D1"/>
    <w:rPr>
      <w:i/>
    </w:rPr>
  </w:style>
  <w:style w:type="character" w:customStyle="1" w:styleId="Superscript">
    <w:name w:val="Superscript"/>
    <w:basedOn w:val="DefaultParagraphFont"/>
    <w:uiPriority w:val="1"/>
    <w:qFormat/>
    <w:rsid w:val="004A37D1"/>
    <w:rPr>
      <w:vertAlign w:val="superscript"/>
    </w:rPr>
  </w:style>
  <w:style w:type="paragraph" w:customStyle="1" w:styleId="CM131">
    <w:name w:val="CM131"/>
    <w:basedOn w:val="Default"/>
    <w:next w:val="Default"/>
    <w:uiPriority w:val="99"/>
    <w:rsid w:val="004A37D1"/>
    <w:rPr>
      <w:rFonts w:ascii="MetaPro-LightIta" w:hAnsi="MetaPro-LightIta" w:cs="Times New Roman"/>
      <w:color w:val="auto"/>
    </w:rPr>
  </w:style>
  <w:style w:type="paragraph" w:customStyle="1" w:styleId="ARINTROPARA">
    <w:name w:val="AR INTRO PARA"/>
    <w:basedOn w:val="BodyText"/>
    <w:qFormat/>
    <w:rsid w:val="004A37D1"/>
    <w:pPr>
      <w:widowControl w:val="0"/>
      <w:suppressAutoHyphens/>
      <w:spacing w:after="240" w:line="288" w:lineRule="auto"/>
    </w:pPr>
    <w:rPr>
      <w:rFonts w:eastAsia="Arial" w:cs="Times New Roman"/>
      <w:color w:val="C00000"/>
      <w:sz w:val="24"/>
      <w:szCs w:val="24"/>
      <w:lang w:val="en-US" w:eastAsia="en-US"/>
    </w:rPr>
  </w:style>
  <w:style w:type="table" w:customStyle="1" w:styleId="TableGrid101">
    <w:name w:val="Table Grid101"/>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4A37D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4A37D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4A37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A37D1"/>
    <w:rPr>
      <w:rFonts w:ascii="Arial" w:eastAsia="Times New Roman" w:hAnsi="Arial" w:cs="Arial"/>
      <w:sz w:val="21"/>
      <w:szCs w:val="21"/>
      <w:lang w:eastAsia="en-AU"/>
    </w:rPr>
  </w:style>
  <w:style w:type="numbering" w:customStyle="1" w:styleId="NoList13">
    <w:name w:val="No List13"/>
    <w:next w:val="NoList"/>
    <w:uiPriority w:val="99"/>
    <w:semiHidden/>
    <w:unhideWhenUsed/>
    <w:rsid w:val="004A37D1"/>
  </w:style>
  <w:style w:type="table" w:customStyle="1" w:styleId="TableGrid19">
    <w:name w:val="Table Grid19"/>
    <w:basedOn w:val="TableNormal"/>
    <w:next w:val="TableGrid"/>
    <w:uiPriority w:val="39"/>
    <w:rsid w:val="004A37D1"/>
    <w:pPr>
      <w:spacing w:after="0" w:line="240" w:lineRule="auto"/>
    </w:pPr>
    <w:rPr>
      <w:rFonts w:ascii="Arial" w:eastAsia="PMingLiU" w:hAnsi="Arial" w:cs="Arial"/>
      <w:color w:val="000000"/>
      <w:sz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A37D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4A37D1"/>
    <w:rPr>
      <w:rFonts w:asciiTheme="majorHAnsi" w:eastAsiaTheme="majorEastAsia" w:hAnsiTheme="majorHAnsi" w:cstheme="majorBidi"/>
      <w:color w:val="2F5496" w:themeColor="accent1" w:themeShade="BF"/>
      <w:sz w:val="26"/>
      <w:szCs w:val="26"/>
    </w:rPr>
  </w:style>
  <w:style w:type="character" w:customStyle="1" w:styleId="Heading1Char1">
    <w:name w:val="Heading 1 Char1"/>
    <w:basedOn w:val="DefaultParagraphFont"/>
    <w:uiPriority w:val="9"/>
    <w:rsid w:val="004A37D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1"/>
    <w:uiPriority w:val="99"/>
    <w:unhideWhenUsed/>
    <w:rsid w:val="004A37D1"/>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4A37D1"/>
  </w:style>
  <w:style w:type="character" w:styleId="FollowedHyperlink">
    <w:name w:val="FollowedHyperlink"/>
    <w:basedOn w:val="DefaultParagraphFont"/>
    <w:uiPriority w:val="99"/>
    <w:semiHidden/>
    <w:unhideWhenUsed/>
    <w:rsid w:val="004A37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ata.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5242</Words>
  <Characters>29882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5 Strengthen capability innovation and governance</vt:lpstr>
    </vt:vector>
  </TitlesOfParts>
  <Company/>
  <LinksUpToDate>false</LinksUpToDate>
  <CharactersWithSpaces>35054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Strengthen capability innovation and governance</dc:title>
  <dc:subject>Annual report 2021-22</dc:subject>
  <dc:creator>Queensland Government</dc:creator>
  <cp:keywords>dsdsatsip; annual; report; 2021; 2022; governance; innovation; capability; 5</cp:keywords>
  <dc:description/>
  <cp:lastModifiedBy>Tanya R Campbell</cp:lastModifiedBy>
  <cp:revision>3</cp:revision>
  <dcterms:created xsi:type="dcterms:W3CDTF">2022-09-29T21:43:00Z</dcterms:created>
  <dcterms:modified xsi:type="dcterms:W3CDTF">2022-09-29T21:58:00Z</dcterms:modified>
</cp:coreProperties>
</file>