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E379" w14:textId="2CA88EED" w:rsidR="005C77E0" w:rsidRPr="009F1FB5" w:rsidRDefault="00392640" w:rsidP="009F1FB5">
      <w:pPr>
        <w:pStyle w:val="Heading1"/>
      </w:pPr>
      <w:bookmarkStart w:id="0" w:name="_Toc352236363"/>
      <w:bookmarkStart w:id="1" w:name="_Toc78287409"/>
      <w:bookmarkStart w:id="2" w:name="_Toc78355816"/>
      <w:bookmarkStart w:id="3" w:name="_Toc43444832"/>
      <w:bookmarkStart w:id="4" w:name="_Toc81984386"/>
      <w:bookmarkStart w:id="5" w:name="_GoBack"/>
      <w:bookmarkEnd w:id="5"/>
      <w:r w:rsidRPr="00392640">
        <w:rPr>
          <w:b/>
          <w:bCs w:val="0"/>
        </w:rPr>
        <w:t xml:space="preserve">07 </w:t>
      </w:r>
      <w:r w:rsidR="005C77E0" w:rsidRPr="009F1FB5">
        <w:t>Appendices</w:t>
      </w:r>
      <w:bookmarkEnd w:id="1"/>
      <w:bookmarkEnd w:id="2"/>
      <w:bookmarkEnd w:id="4"/>
    </w:p>
    <w:p w14:paraId="3343FFFB" w14:textId="77777777" w:rsidR="005C77E0" w:rsidRPr="00E4449B" w:rsidRDefault="005C77E0" w:rsidP="009F1FB5">
      <w:r w:rsidRPr="00E4449B">
        <w:t>In this Section</w:t>
      </w:r>
    </w:p>
    <w:p w14:paraId="2E848909" w14:textId="77777777" w:rsidR="005C77E0" w:rsidRPr="009F1FB5" w:rsidRDefault="005C77E0" w:rsidP="009F1FB5">
      <w:pPr>
        <w:pStyle w:val="ListBullet"/>
      </w:pPr>
      <w:r w:rsidRPr="009F1FB5">
        <w:t>Appendix 1: Glossary</w:t>
      </w:r>
    </w:p>
    <w:p w14:paraId="79424F10" w14:textId="77777777" w:rsidR="005C77E0" w:rsidRPr="009F1FB5" w:rsidRDefault="005C77E0" w:rsidP="009F1FB5">
      <w:pPr>
        <w:pStyle w:val="ListBullet"/>
      </w:pPr>
      <w:r w:rsidRPr="009F1FB5">
        <w:t>Appendix 2: Our legislation</w:t>
      </w:r>
    </w:p>
    <w:p w14:paraId="204988E2" w14:textId="77777777" w:rsidR="005C77E0" w:rsidRPr="009F1FB5" w:rsidRDefault="005C77E0" w:rsidP="009F1FB5">
      <w:pPr>
        <w:pStyle w:val="ListBullet"/>
      </w:pPr>
      <w:r w:rsidRPr="009F1FB5">
        <w:t>Appendix 3: Department boards and committees</w:t>
      </w:r>
    </w:p>
    <w:p w14:paraId="3AFFF110" w14:textId="55A88C79" w:rsidR="005C77E0" w:rsidRPr="009F1FB5" w:rsidRDefault="00B4253E" w:rsidP="009F1FB5">
      <w:pPr>
        <w:pStyle w:val="ListBullet"/>
      </w:pPr>
      <w:r w:rsidRPr="009F1FB5">
        <w:t>Appendix 4</w:t>
      </w:r>
      <w:r w:rsidR="005C77E0" w:rsidRPr="009F1FB5">
        <w:t>: Service Delivery Statements</w:t>
      </w:r>
    </w:p>
    <w:p w14:paraId="556E04C3" w14:textId="3271E984" w:rsidR="005C77E0" w:rsidRPr="009F1FB5" w:rsidRDefault="00B4253E" w:rsidP="009F1FB5">
      <w:pPr>
        <w:pStyle w:val="ListBullet"/>
      </w:pPr>
      <w:r w:rsidRPr="009F1FB5">
        <w:t>Appendix 5</w:t>
      </w:r>
      <w:r w:rsidR="005C77E0" w:rsidRPr="009F1FB5">
        <w:t>: Government bodies</w:t>
      </w:r>
    </w:p>
    <w:p w14:paraId="7B2A3146" w14:textId="58D3D1C1" w:rsidR="005C77E0" w:rsidRPr="009F1FB5" w:rsidRDefault="00B4253E" w:rsidP="009F1FB5">
      <w:pPr>
        <w:pStyle w:val="ListBullet"/>
      </w:pPr>
      <w:r w:rsidRPr="009F1FB5">
        <w:t>Appendix 6</w:t>
      </w:r>
      <w:r w:rsidR="005C77E0" w:rsidRPr="009F1FB5">
        <w:t>: Compliance checklist</w:t>
      </w:r>
    </w:p>
    <w:p w14:paraId="1B5EA492" w14:textId="2039C486" w:rsidR="00B4253E" w:rsidRPr="009F1FB5" w:rsidRDefault="00B4253E" w:rsidP="009F1FB5">
      <w:pPr>
        <w:pStyle w:val="ListBullet"/>
      </w:pPr>
      <w:r w:rsidRPr="009F1FB5">
        <w:t>Appendix 7: Financial performance statement</w:t>
      </w:r>
    </w:p>
    <w:p w14:paraId="276E6ABF" w14:textId="1FA631E1" w:rsidR="005C77E0" w:rsidRPr="00E4449B" w:rsidRDefault="005C77E0" w:rsidP="005C77E0">
      <w:pPr>
        <w:spacing w:after="120" w:line="240" w:lineRule="auto"/>
        <w:rPr>
          <w:bCs/>
          <w:noProof/>
          <w:color w:val="55C5CA"/>
          <w:kern w:val="32"/>
          <w:sz w:val="36"/>
          <w:szCs w:val="36"/>
          <w:lang w:eastAsia="en-US"/>
        </w:rPr>
      </w:pPr>
      <w:r w:rsidRPr="00E4449B">
        <w:br w:type="page"/>
      </w:r>
    </w:p>
    <w:p w14:paraId="5760AA53" w14:textId="6E6FC3F9" w:rsidR="001426EA" w:rsidRPr="00497E44" w:rsidRDefault="00451BD6" w:rsidP="00497E44">
      <w:pPr>
        <w:pStyle w:val="Heading2"/>
      </w:pPr>
      <w:bookmarkStart w:id="6" w:name="_Toc43444833"/>
      <w:bookmarkStart w:id="7" w:name="_Toc78287410"/>
      <w:bookmarkStart w:id="8" w:name="_Toc78355817"/>
      <w:bookmarkStart w:id="9" w:name="_Toc81984387"/>
      <w:bookmarkEnd w:id="3"/>
      <w:r w:rsidRPr="00497E44">
        <w:lastRenderedPageBreak/>
        <w:t xml:space="preserve">Appendix 1 </w:t>
      </w:r>
      <w:r w:rsidR="003251A6" w:rsidRPr="00497E44">
        <w:t>–</w:t>
      </w:r>
      <w:r w:rsidRPr="00497E44">
        <w:t xml:space="preserve"> </w:t>
      </w:r>
      <w:r w:rsidR="00FB48FC" w:rsidRPr="00497E44">
        <w:t>Glossary</w:t>
      </w:r>
      <w:bookmarkEnd w:id="6"/>
      <w:bookmarkEnd w:id="7"/>
      <w:bookmarkEnd w:id="8"/>
      <w:bookmarkEnd w:id="9"/>
    </w:p>
    <w:tbl>
      <w:tblPr>
        <w:tblStyle w:val="TableGrid1"/>
        <w:tblW w:w="10490" w:type="dxa"/>
        <w:tblInd w:w="-5" w:type="dxa"/>
        <w:tblLayout w:type="fixed"/>
        <w:tblCellMar>
          <w:top w:w="28" w:type="dxa"/>
          <w:left w:w="28" w:type="dxa"/>
          <w:bottom w:w="28" w:type="dxa"/>
          <w:right w:w="28" w:type="dxa"/>
        </w:tblCellMar>
        <w:tblLook w:val="01E0" w:firstRow="1" w:lastRow="1" w:firstColumn="1" w:lastColumn="1" w:noHBand="0" w:noVBand="0"/>
      </w:tblPr>
      <w:tblGrid>
        <w:gridCol w:w="2694"/>
        <w:gridCol w:w="7796"/>
      </w:tblGrid>
      <w:tr w:rsidR="001426EA" w:rsidRPr="00BE0F6C" w14:paraId="5982AF57" w14:textId="77777777" w:rsidTr="002C2968">
        <w:trPr>
          <w:trHeight w:hRule="exact" w:val="4929"/>
        </w:trPr>
        <w:tc>
          <w:tcPr>
            <w:tcW w:w="2694" w:type="dxa"/>
          </w:tcPr>
          <w:p w14:paraId="32730D44" w14:textId="77777777" w:rsidR="001426EA" w:rsidRPr="004C63CF" w:rsidRDefault="001426EA" w:rsidP="00BE0F6C">
            <w:pPr>
              <w:rPr>
                <w:rFonts w:ascii="Arial" w:hAnsi="Arial"/>
              </w:rPr>
            </w:pPr>
            <w:r w:rsidRPr="004C63CF">
              <w:rPr>
                <w:rFonts w:ascii="Arial" w:hAnsi="Arial"/>
              </w:rPr>
              <w:t>Aboriginal and Torres Strait Islander Cultural Capability Framework</w:t>
            </w:r>
          </w:p>
        </w:tc>
        <w:tc>
          <w:tcPr>
            <w:tcW w:w="7796" w:type="dxa"/>
          </w:tcPr>
          <w:p w14:paraId="02D0BEC0" w14:textId="77777777" w:rsidR="001426EA" w:rsidRPr="004C63CF" w:rsidRDefault="001426EA" w:rsidP="00BE0F6C">
            <w:pPr>
              <w:rPr>
                <w:rFonts w:ascii="Arial" w:hAnsi="Arial"/>
              </w:rPr>
            </w:pPr>
            <w:r w:rsidRPr="004C63CF">
              <w:rPr>
                <w:rFonts w:ascii="Arial" w:hAnsi="Arial"/>
              </w:rPr>
              <w:t>Cultural capability is the integration of knowledge about individuals and groups of people into specific standards, policies, practices and attitudes to produce better outcomes for Aboriginal peoples and Torres Strait Islander peoples. It is demonstrated through knowledge, skills and behaviours.</w:t>
            </w:r>
          </w:p>
          <w:p w14:paraId="1D328572" w14:textId="77777777" w:rsidR="001426EA" w:rsidRPr="004C63CF" w:rsidRDefault="001426EA" w:rsidP="00BE0F6C">
            <w:pPr>
              <w:rPr>
                <w:rFonts w:ascii="Arial" w:hAnsi="Arial"/>
              </w:rPr>
            </w:pPr>
            <w:r w:rsidRPr="004C63CF">
              <w:rPr>
                <w:rFonts w:ascii="Arial" w:hAnsi="Arial"/>
              </w:rPr>
              <w:t>The Aboriginal and Torres Strait Islander Cultural Capability Framework is underpinned by five principles: valuing culture; leadership and accountability; building cultural capability to improve economic participation; Aboriginal and Torres Strait Islander engagement and stronger partnerships; and culturally responsive systems and services.</w:t>
            </w:r>
          </w:p>
          <w:p w14:paraId="36363B03" w14:textId="77777777" w:rsidR="001426EA" w:rsidRPr="004C63CF" w:rsidRDefault="001426EA" w:rsidP="00BE0F6C">
            <w:pPr>
              <w:rPr>
                <w:rFonts w:ascii="Arial" w:hAnsi="Arial"/>
              </w:rPr>
            </w:pPr>
            <w:r w:rsidRPr="004C63CF">
              <w:rPr>
                <w:rFonts w:ascii="Arial" w:hAnsi="Arial"/>
              </w:rPr>
              <w:t>The framework is the foundation document that underpins all Queensland Government actions aimed at ensuring Aboriginal and Torres Strait Islander Queenslanders enjoy the same opportunities—economic, education, health, housing and social—as non-Indigenous Queenslanders. It underpins the way we do business so we can ensure all Aboriginal and Torres Strait Islander Queenslanders share equally in the future of our great state.</w:t>
            </w:r>
          </w:p>
        </w:tc>
      </w:tr>
      <w:tr w:rsidR="001426EA" w:rsidRPr="00BE0F6C" w14:paraId="1BA23530" w14:textId="77777777" w:rsidTr="002C2968">
        <w:trPr>
          <w:trHeight w:hRule="exact" w:val="1451"/>
        </w:trPr>
        <w:tc>
          <w:tcPr>
            <w:tcW w:w="2694" w:type="dxa"/>
          </w:tcPr>
          <w:p w14:paraId="058D80DD" w14:textId="77777777" w:rsidR="001426EA" w:rsidRPr="004C63CF" w:rsidRDefault="001426EA" w:rsidP="00BE0F6C">
            <w:pPr>
              <w:rPr>
                <w:rFonts w:ascii="Arial" w:hAnsi="Arial"/>
              </w:rPr>
            </w:pPr>
            <w:r w:rsidRPr="004C63CF">
              <w:rPr>
                <w:rFonts w:ascii="Arial" w:hAnsi="Arial"/>
              </w:rPr>
              <w:t>Alcohol Management Plans</w:t>
            </w:r>
          </w:p>
        </w:tc>
        <w:tc>
          <w:tcPr>
            <w:tcW w:w="7796" w:type="dxa"/>
          </w:tcPr>
          <w:p w14:paraId="2095531D" w14:textId="77777777" w:rsidR="001426EA" w:rsidRPr="004C63CF" w:rsidRDefault="001426EA" w:rsidP="00BE0F6C">
            <w:pPr>
              <w:rPr>
                <w:rFonts w:ascii="Arial" w:hAnsi="Arial"/>
              </w:rPr>
            </w:pPr>
            <w:r w:rsidRPr="004C63CF">
              <w:rPr>
                <w:rFonts w:ascii="Arial" w:hAnsi="Arial"/>
              </w:rPr>
              <w:t xml:space="preserve">Alcohol Management Plans are in place in 19 discrete Aboriginal and Torres Strait Islander communities across 15 </w:t>
            </w:r>
            <w:r w:rsidR="0000700B" w:rsidRPr="004C63CF">
              <w:rPr>
                <w:rFonts w:ascii="Arial" w:hAnsi="Arial"/>
              </w:rPr>
              <w:t>l</w:t>
            </w:r>
            <w:r w:rsidRPr="004C63CF">
              <w:rPr>
                <w:rFonts w:ascii="Arial" w:hAnsi="Arial"/>
              </w:rPr>
              <w:t>ocal government areas in Queensland, and are designed to reduce alcohol-related violence, particularly against women, children and the elderly. Alcohol Management Plans are tailored to each community, but all contain strategies to reduce alcohol supply and demand.</w:t>
            </w:r>
          </w:p>
        </w:tc>
      </w:tr>
      <w:tr w:rsidR="00C66CEE" w:rsidRPr="00BE0F6C" w14:paraId="14671F15" w14:textId="77777777" w:rsidTr="002C2968">
        <w:trPr>
          <w:trHeight w:hRule="exact" w:val="1129"/>
        </w:trPr>
        <w:tc>
          <w:tcPr>
            <w:tcW w:w="2694" w:type="dxa"/>
          </w:tcPr>
          <w:p w14:paraId="360F4493" w14:textId="53CFA30D" w:rsidR="00C66CEE" w:rsidRPr="004C63CF" w:rsidRDefault="00C66CEE" w:rsidP="00BE0F6C">
            <w:pPr>
              <w:rPr>
                <w:rFonts w:ascii="Arial" w:hAnsi="Arial"/>
              </w:rPr>
            </w:pPr>
            <w:r w:rsidRPr="004C63CF">
              <w:rPr>
                <w:rFonts w:ascii="Arial" w:hAnsi="Arial"/>
              </w:rPr>
              <w:t>Carer</w:t>
            </w:r>
          </w:p>
        </w:tc>
        <w:tc>
          <w:tcPr>
            <w:tcW w:w="7796" w:type="dxa"/>
          </w:tcPr>
          <w:p w14:paraId="02C6819D" w14:textId="48853165" w:rsidR="00C66CEE" w:rsidRPr="004C63CF" w:rsidRDefault="00C66CEE" w:rsidP="00BE0F6C">
            <w:pPr>
              <w:rPr>
                <w:rFonts w:ascii="Arial" w:hAnsi="Arial"/>
              </w:rPr>
            </w:pPr>
            <w:r w:rsidRPr="004C63CF">
              <w:rPr>
                <w:rFonts w:ascii="Arial" w:hAnsi="Arial"/>
              </w:rPr>
              <w:t>Someone who provides ongoing care or assistance to another person who, because of a disability, impairment, frailty, chronic illness or pain, requires assistance with everyday tasks.</w:t>
            </w:r>
          </w:p>
        </w:tc>
      </w:tr>
      <w:tr w:rsidR="001426EA" w:rsidRPr="00BE0F6C" w14:paraId="2750A88A" w14:textId="77777777" w:rsidTr="002C2968">
        <w:trPr>
          <w:trHeight w:hRule="exact" w:val="1211"/>
        </w:trPr>
        <w:tc>
          <w:tcPr>
            <w:tcW w:w="2694" w:type="dxa"/>
          </w:tcPr>
          <w:p w14:paraId="38DF2803" w14:textId="77777777" w:rsidR="001426EA" w:rsidRPr="004C63CF" w:rsidRDefault="001426EA" w:rsidP="00BE0F6C">
            <w:pPr>
              <w:rPr>
                <w:rFonts w:ascii="Arial" w:hAnsi="Arial"/>
              </w:rPr>
            </w:pPr>
            <w:r w:rsidRPr="004C63CF">
              <w:rPr>
                <w:rFonts w:ascii="Arial" w:hAnsi="Arial"/>
              </w:rPr>
              <w:t>Closing the Gap</w:t>
            </w:r>
          </w:p>
        </w:tc>
        <w:tc>
          <w:tcPr>
            <w:tcW w:w="7796" w:type="dxa"/>
          </w:tcPr>
          <w:p w14:paraId="640ED00F" w14:textId="77777777" w:rsidR="001426EA" w:rsidRPr="004C63CF" w:rsidRDefault="001426EA" w:rsidP="00BE0F6C">
            <w:pPr>
              <w:rPr>
                <w:rFonts w:ascii="Arial" w:hAnsi="Arial"/>
              </w:rPr>
            </w:pPr>
            <w:r w:rsidRPr="004C63CF">
              <w:rPr>
                <w:rFonts w:ascii="Arial" w:hAnsi="Arial"/>
              </w:rPr>
              <w:t>A commitment by all Australian governments to work towards a better future for Aboriginal peoples and Torres Strait Islander peoples. It aims to close the gap of Aboriginal and Torres Strait Islander disadvantage in areas such as life expectancy, health, housing, education and employment.</w:t>
            </w:r>
          </w:p>
        </w:tc>
      </w:tr>
      <w:tr w:rsidR="001426EA" w:rsidRPr="00BE0F6C" w14:paraId="7E053804" w14:textId="77777777" w:rsidTr="002C2968">
        <w:trPr>
          <w:trHeight w:hRule="exact" w:val="1011"/>
        </w:trPr>
        <w:tc>
          <w:tcPr>
            <w:tcW w:w="2694" w:type="dxa"/>
          </w:tcPr>
          <w:p w14:paraId="5C5E8ED9" w14:textId="77777777" w:rsidR="001426EA" w:rsidRPr="004C63CF" w:rsidRDefault="001426EA" w:rsidP="00BE0F6C">
            <w:pPr>
              <w:rPr>
                <w:rFonts w:ascii="Arial" w:hAnsi="Arial"/>
              </w:rPr>
            </w:pPr>
            <w:r w:rsidRPr="004C63CF">
              <w:rPr>
                <w:rFonts w:ascii="Arial" w:hAnsi="Arial"/>
              </w:rPr>
              <w:t>Co-design</w:t>
            </w:r>
          </w:p>
        </w:tc>
        <w:tc>
          <w:tcPr>
            <w:tcW w:w="7796" w:type="dxa"/>
          </w:tcPr>
          <w:p w14:paraId="329AF712" w14:textId="77777777" w:rsidR="001426EA" w:rsidRPr="004C63CF" w:rsidRDefault="001426EA" w:rsidP="00BE0F6C">
            <w:pPr>
              <w:rPr>
                <w:rFonts w:ascii="Arial" w:hAnsi="Arial"/>
              </w:rPr>
            </w:pPr>
            <w:r w:rsidRPr="004C63CF">
              <w:rPr>
                <w:rFonts w:ascii="Arial" w:hAnsi="Arial"/>
              </w:rPr>
              <w:t>Co-design is an approach to design that attempts to actively involve all stakeholders in the design process to help ensure the result meets their needs and is usable.</w:t>
            </w:r>
          </w:p>
        </w:tc>
      </w:tr>
      <w:tr w:rsidR="001426EA" w:rsidRPr="00BE0F6C" w14:paraId="28E50ECD" w14:textId="77777777" w:rsidTr="002C2968">
        <w:trPr>
          <w:trHeight w:hRule="exact" w:val="731"/>
        </w:trPr>
        <w:tc>
          <w:tcPr>
            <w:tcW w:w="2694" w:type="dxa"/>
          </w:tcPr>
          <w:p w14:paraId="2942E06C" w14:textId="77777777" w:rsidR="001426EA" w:rsidRPr="004C63CF" w:rsidRDefault="001426EA" w:rsidP="00BE0F6C">
            <w:pPr>
              <w:rPr>
                <w:rFonts w:ascii="Arial" w:hAnsi="Arial"/>
              </w:rPr>
            </w:pPr>
            <w:r w:rsidRPr="004C63CF">
              <w:rPr>
                <w:rFonts w:ascii="Arial" w:hAnsi="Arial"/>
              </w:rPr>
              <w:t>Co-led</w:t>
            </w:r>
          </w:p>
        </w:tc>
        <w:tc>
          <w:tcPr>
            <w:tcW w:w="7796" w:type="dxa"/>
          </w:tcPr>
          <w:p w14:paraId="05A86987" w14:textId="77777777" w:rsidR="001426EA" w:rsidRPr="004C63CF" w:rsidRDefault="001426EA" w:rsidP="00BE0F6C">
            <w:pPr>
              <w:rPr>
                <w:rFonts w:ascii="Arial" w:hAnsi="Arial"/>
              </w:rPr>
            </w:pPr>
            <w:r w:rsidRPr="004C63CF">
              <w:rPr>
                <w:rFonts w:ascii="Arial" w:hAnsi="Arial"/>
              </w:rPr>
              <w:t>Co-led refers to leading together—taking a joint lead—one of a group of equals who jointly take lead roles.</w:t>
            </w:r>
          </w:p>
        </w:tc>
      </w:tr>
      <w:tr w:rsidR="00C66CEE" w:rsidRPr="00BE0F6C" w14:paraId="68E374DC" w14:textId="77777777" w:rsidTr="002C2968">
        <w:trPr>
          <w:trHeight w:hRule="exact" w:val="1296"/>
        </w:trPr>
        <w:tc>
          <w:tcPr>
            <w:tcW w:w="2694" w:type="dxa"/>
          </w:tcPr>
          <w:p w14:paraId="702AF4D2" w14:textId="34E76829" w:rsidR="00C66CEE" w:rsidRPr="004C63CF" w:rsidRDefault="00C66CEE" w:rsidP="00BE0F6C">
            <w:pPr>
              <w:rPr>
                <w:rFonts w:ascii="Arial" w:hAnsi="Arial"/>
              </w:rPr>
            </w:pPr>
            <w:r w:rsidRPr="004C63CF">
              <w:rPr>
                <w:rFonts w:ascii="Arial" w:hAnsi="Arial"/>
              </w:rPr>
              <w:t>Community care</w:t>
            </w:r>
          </w:p>
        </w:tc>
        <w:tc>
          <w:tcPr>
            <w:tcW w:w="7796" w:type="dxa"/>
          </w:tcPr>
          <w:p w14:paraId="3AFF22B6" w14:textId="1ED38DC3" w:rsidR="00C66CEE" w:rsidRPr="004C63CF" w:rsidRDefault="00C66CEE" w:rsidP="00BE0F6C">
            <w:pPr>
              <w:rPr>
                <w:rFonts w:ascii="Arial" w:hAnsi="Arial"/>
              </w:rPr>
            </w:pPr>
            <w:r w:rsidRPr="004C63CF">
              <w:rPr>
                <w:rFonts w:ascii="Arial" w:hAnsi="Arial"/>
              </w:rPr>
              <w:t>Provides low-intensity support services to people under 65 years of age who have a disability or condition that restricts their ability to carry out activities of daily living. Core activities of daily living include dressing, bathing or showering, preparing meals, house cleaning and maintenance, and using public transport.</w:t>
            </w:r>
          </w:p>
        </w:tc>
      </w:tr>
      <w:tr w:rsidR="001426EA" w:rsidRPr="00BE0F6C" w14:paraId="1CBDC893" w14:textId="77777777" w:rsidTr="002C2968">
        <w:trPr>
          <w:trHeight w:hRule="exact" w:val="1211"/>
        </w:trPr>
        <w:tc>
          <w:tcPr>
            <w:tcW w:w="2694" w:type="dxa"/>
          </w:tcPr>
          <w:p w14:paraId="76758F22" w14:textId="77777777" w:rsidR="001426EA" w:rsidRPr="004C63CF" w:rsidRDefault="001426EA" w:rsidP="00BE0F6C">
            <w:pPr>
              <w:rPr>
                <w:rFonts w:ascii="Arial" w:hAnsi="Arial"/>
              </w:rPr>
            </w:pPr>
            <w:r w:rsidRPr="004C63CF">
              <w:rPr>
                <w:rFonts w:ascii="Arial" w:hAnsi="Arial"/>
              </w:rPr>
              <w:t>Cultural heritage</w:t>
            </w:r>
          </w:p>
        </w:tc>
        <w:tc>
          <w:tcPr>
            <w:tcW w:w="7796" w:type="dxa"/>
          </w:tcPr>
          <w:p w14:paraId="17010231" w14:textId="77777777" w:rsidR="001426EA" w:rsidRPr="004C63CF" w:rsidRDefault="001426EA" w:rsidP="00BE0F6C">
            <w:pPr>
              <w:rPr>
                <w:rFonts w:ascii="Arial" w:hAnsi="Arial"/>
              </w:rPr>
            </w:pPr>
            <w:r w:rsidRPr="004C63CF">
              <w:rPr>
                <w:rFonts w:ascii="Arial" w:hAnsi="Arial"/>
              </w:rPr>
              <w:t xml:space="preserve">Aboriginal and Torres Strait Islander cultural heritage is anything that is a </w:t>
            </w:r>
            <w:r w:rsidR="00B91766" w:rsidRPr="004C63CF">
              <w:rPr>
                <w:rFonts w:ascii="Arial" w:hAnsi="Arial"/>
              </w:rPr>
              <w:t>significant Aboriginal</w:t>
            </w:r>
            <w:r w:rsidRPr="004C63CF">
              <w:rPr>
                <w:rFonts w:ascii="Arial" w:hAnsi="Arial"/>
              </w:rPr>
              <w:t xml:space="preserve"> or Torres Strait Islander area or object in Queensland, or evidence of archaeological or historical significance of Aboriginal and Torres Strait Islander occupation of an area in Queensland.</w:t>
            </w:r>
          </w:p>
        </w:tc>
      </w:tr>
      <w:tr w:rsidR="00C66CEE" w:rsidRPr="00BE0F6C" w14:paraId="73FC1628" w14:textId="77777777" w:rsidTr="002C2968">
        <w:trPr>
          <w:trHeight w:hRule="exact" w:val="913"/>
        </w:trPr>
        <w:tc>
          <w:tcPr>
            <w:tcW w:w="2694" w:type="dxa"/>
          </w:tcPr>
          <w:p w14:paraId="08FE3BD8" w14:textId="6698125D" w:rsidR="00C66CEE" w:rsidRPr="004C63CF" w:rsidRDefault="00C66CEE" w:rsidP="00BE0F6C">
            <w:pPr>
              <w:rPr>
                <w:rFonts w:ascii="Arial" w:hAnsi="Arial"/>
              </w:rPr>
            </w:pPr>
            <w:r w:rsidRPr="004C63CF">
              <w:rPr>
                <w:rFonts w:ascii="Arial" w:hAnsi="Arial"/>
              </w:rPr>
              <w:t>Customer</w:t>
            </w:r>
          </w:p>
        </w:tc>
        <w:tc>
          <w:tcPr>
            <w:tcW w:w="7796" w:type="dxa"/>
          </w:tcPr>
          <w:p w14:paraId="1C4A9328" w14:textId="276F673B" w:rsidR="00C66CEE" w:rsidRPr="004C63CF" w:rsidRDefault="00C66CEE" w:rsidP="00BE0F6C">
            <w:pPr>
              <w:rPr>
                <w:rFonts w:ascii="Arial" w:hAnsi="Arial"/>
              </w:rPr>
            </w:pPr>
            <w:r w:rsidRPr="004C63CF">
              <w:rPr>
                <w:rFonts w:ascii="Arial" w:hAnsi="Arial"/>
              </w:rPr>
              <w:t xml:space="preserve">Person or organisation that receives a service. Note that a customer can be internal or external to the organisation. Synonyms </w:t>
            </w:r>
            <w:proofErr w:type="gramStart"/>
            <w:r w:rsidRPr="004C63CF">
              <w:rPr>
                <w:rFonts w:ascii="Arial" w:hAnsi="Arial"/>
              </w:rPr>
              <w:t>include:</w:t>
            </w:r>
            <w:proofErr w:type="gramEnd"/>
            <w:r w:rsidRPr="004C63CF">
              <w:rPr>
                <w:rFonts w:ascii="Arial" w:hAnsi="Arial"/>
              </w:rPr>
              <w:t xml:space="preserve"> client, consumer, end user, resident, retailer, beneficiary and purchaser.</w:t>
            </w:r>
          </w:p>
        </w:tc>
      </w:tr>
      <w:tr w:rsidR="00C66CEE" w:rsidRPr="00BE0F6C" w14:paraId="0B74154C" w14:textId="77777777" w:rsidTr="002C2968">
        <w:trPr>
          <w:trHeight w:hRule="exact" w:val="1281"/>
        </w:trPr>
        <w:tc>
          <w:tcPr>
            <w:tcW w:w="2694" w:type="dxa"/>
          </w:tcPr>
          <w:p w14:paraId="4F87581E" w14:textId="20D94B78" w:rsidR="00C66CEE" w:rsidRPr="004C63CF" w:rsidRDefault="00C66CEE" w:rsidP="00BE0F6C">
            <w:pPr>
              <w:rPr>
                <w:rFonts w:ascii="Arial" w:hAnsi="Arial"/>
              </w:rPr>
            </w:pPr>
            <w:r w:rsidRPr="004C63CF">
              <w:rPr>
                <w:rFonts w:ascii="Arial" w:hAnsi="Arial"/>
              </w:rPr>
              <w:lastRenderedPageBreak/>
              <w:t>Disability</w:t>
            </w:r>
          </w:p>
        </w:tc>
        <w:tc>
          <w:tcPr>
            <w:tcW w:w="7796" w:type="dxa"/>
          </w:tcPr>
          <w:p w14:paraId="164C62B9" w14:textId="4D3CDF37" w:rsidR="00C66CEE" w:rsidRPr="004C63CF" w:rsidRDefault="00C66CEE" w:rsidP="00BE0F6C">
            <w:pPr>
              <w:rPr>
                <w:rFonts w:ascii="Arial" w:hAnsi="Arial"/>
              </w:rPr>
            </w:pPr>
            <w:r w:rsidRPr="004C63CF">
              <w:rPr>
                <w:rFonts w:ascii="Arial" w:hAnsi="Arial"/>
              </w:rPr>
              <w:t>A person’s condition that is attributable to an intellectual, psychiatric, cognitive, neurological, sensory or physical impairment, or combination of impairments and results in a substantial reduction of the person’s capacity for communication, social interaction, learning, mobility, self-care or management.</w:t>
            </w:r>
          </w:p>
        </w:tc>
      </w:tr>
      <w:tr w:rsidR="0033359D" w:rsidRPr="00BE0F6C" w14:paraId="47F24748" w14:textId="77777777" w:rsidTr="002C2968">
        <w:trPr>
          <w:trHeight w:hRule="exact" w:val="861"/>
        </w:trPr>
        <w:tc>
          <w:tcPr>
            <w:tcW w:w="2694" w:type="dxa"/>
          </w:tcPr>
          <w:p w14:paraId="13AD575F" w14:textId="1EC9F33A" w:rsidR="0033359D" w:rsidRPr="004C63CF" w:rsidRDefault="0033359D" w:rsidP="00BE0F6C">
            <w:pPr>
              <w:rPr>
                <w:rFonts w:ascii="Arial" w:hAnsi="Arial"/>
              </w:rPr>
            </w:pPr>
            <w:r w:rsidRPr="004C63CF">
              <w:rPr>
                <w:rFonts w:ascii="Arial" w:hAnsi="Arial"/>
              </w:rPr>
              <w:t>Disability Connect and Outreach</w:t>
            </w:r>
          </w:p>
        </w:tc>
        <w:tc>
          <w:tcPr>
            <w:tcW w:w="7796" w:type="dxa"/>
          </w:tcPr>
          <w:p w14:paraId="7BFD855D" w14:textId="2C90A92C" w:rsidR="0033359D" w:rsidRPr="004C63CF" w:rsidRDefault="0033359D" w:rsidP="00BE0F6C">
            <w:pPr>
              <w:rPr>
                <w:rFonts w:ascii="Arial" w:hAnsi="Arial"/>
              </w:rPr>
            </w:pPr>
            <w:r w:rsidRPr="004C63CF">
              <w:rPr>
                <w:rFonts w:ascii="Arial" w:hAnsi="Arial"/>
              </w:rPr>
              <w:t xml:space="preserve">An intensive initiative delivered by the </w:t>
            </w:r>
            <w:r w:rsidR="000259D5" w:rsidRPr="004C63CF">
              <w:rPr>
                <w:rFonts w:ascii="Arial" w:hAnsi="Arial"/>
              </w:rPr>
              <w:t>d</w:t>
            </w:r>
            <w:r w:rsidRPr="004C63CF">
              <w:rPr>
                <w:rFonts w:ascii="Arial" w:hAnsi="Arial"/>
              </w:rPr>
              <w:t>epartment in partnership with the Commonwealth Government to increase NDIS access in Queensland.</w:t>
            </w:r>
          </w:p>
        </w:tc>
      </w:tr>
      <w:tr w:rsidR="001426EA" w:rsidRPr="00BE0F6C" w14:paraId="26A456E9" w14:textId="77777777" w:rsidTr="002C2968">
        <w:trPr>
          <w:trHeight w:hRule="exact" w:val="1508"/>
        </w:trPr>
        <w:tc>
          <w:tcPr>
            <w:tcW w:w="2694" w:type="dxa"/>
          </w:tcPr>
          <w:p w14:paraId="37C480C6" w14:textId="1FDAF5A3" w:rsidR="001426EA" w:rsidRPr="004C63CF" w:rsidRDefault="001426EA" w:rsidP="00BE0F6C">
            <w:pPr>
              <w:rPr>
                <w:rFonts w:ascii="Arial" w:hAnsi="Arial"/>
              </w:rPr>
            </w:pPr>
            <w:r w:rsidRPr="004C63CF">
              <w:rPr>
                <w:rFonts w:ascii="Arial" w:hAnsi="Arial"/>
              </w:rPr>
              <w:t>Discrete</w:t>
            </w:r>
            <w:r w:rsidR="00F66439" w:rsidRPr="004C63CF">
              <w:rPr>
                <w:rFonts w:ascii="Arial" w:hAnsi="Arial"/>
              </w:rPr>
              <w:t xml:space="preserve"> Aboriginal and Torres Strait Islander </w:t>
            </w:r>
            <w:r w:rsidRPr="004C63CF">
              <w:rPr>
                <w:rFonts w:ascii="Arial" w:hAnsi="Arial"/>
              </w:rPr>
              <w:t>communities</w:t>
            </w:r>
          </w:p>
        </w:tc>
        <w:tc>
          <w:tcPr>
            <w:tcW w:w="7796" w:type="dxa"/>
          </w:tcPr>
          <w:p w14:paraId="088D0FD0" w14:textId="77777777" w:rsidR="001426EA" w:rsidRPr="004C63CF" w:rsidRDefault="001426EA" w:rsidP="00BE0F6C">
            <w:pPr>
              <w:rPr>
                <w:rFonts w:ascii="Arial" w:hAnsi="Arial"/>
              </w:rPr>
            </w:pPr>
            <w:r w:rsidRPr="004C63CF">
              <w:rPr>
                <w:rFonts w:ascii="Arial" w:hAnsi="Arial"/>
              </w:rPr>
              <w:t xml:space="preserve">This term refers to the following 19 Aboriginal and Torres Strait Islander communities: Aurukun, Bamaga, Cherbourg, Doomadgee, Hope Vale, Injinoo, Kowanyama, Lockhart River, Mornington Island, Mapoon, </w:t>
            </w:r>
            <w:proofErr w:type="spellStart"/>
            <w:r w:rsidRPr="004C63CF">
              <w:rPr>
                <w:rFonts w:ascii="Arial" w:hAnsi="Arial"/>
              </w:rPr>
              <w:t>Napranum</w:t>
            </w:r>
            <w:proofErr w:type="spellEnd"/>
            <w:r w:rsidRPr="004C63CF">
              <w:rPr>
                <w:rFonts w:ascii="Arial" w:hAnsi="Arial"/>
              </w:rPr>
              <w:t xml:space="preserve">, New Mapoon, Palm Island, </w:t>
            </w:r>
            <w:proofErr w:type="spellStart"/>
            <w:r w:rsidRPr="004C63CF">
              <w:rPr>
                <w:rFonts w:ascii="Arial" w:hAnsi="Arial"/>
              </w:rPr>
              <w:t>Pormpuraaw</w:t>
            </w:r>
            <w:proofErr w:type="spellEnd"/>
            <w:r w:rsidRPr="004C63CF">
              <w:rPr>
                <w:rFonts w:ascii="Arial" w:hAnsi="Arial"/>
              </w:rPr>
              <w:t xml:space="preserve">, </w:t>
            </w:r>
            <w:proofErr w:type="spellStart"/>
            <w:r w:rsidRPr="004C63CF">
              <w:rPr>
                <w:rFonts w:ascii="Arial" w:hAnsi="Arial"/>
              </w:rPr>
              <w:t>Seisia</w:t>
            </w:r>
            <w:proofErr w:type="spellEnd"/>
            <w:r w:rsidRPr="004C63CF">
              <w:rPr>
                <w:rFonts w:ascii="Arial" w:hAnsi="Arial"/>
              </w:rPr>
              <w:t xml:space="preserve">, </w:t>
            </w:r>
            <w:proofErr w:type="spellStart"/>
            <w:r w:rsidRPr="004C63CF">
              <w:rPr>
                <w:rFonts w:ascii="Arial" w:hAnsi="Arial"/>
              </w:rPr>
              <w:t>Umagico</w:t>
            </w:r>
            <w:proofErr w:type="spellEnd"/>
            <w:r w:rsidRPr="004C63CF">
              <w:rPr>
                <w:rFonts w:ascii="Arial" w:hAnsi="Arial"/>
              </w:rPr>
              <w:t xml:space="preserve">, Woorabinda, </w:t>
            </w:r>
            <w:proofErr w:type="spellStart"/>
            <w:r w:rsidRPr="004C63CF">
              <w:rPr>
                <w:rFonts w:ascii="Arial" w:hAnsi="Arial"/>
              </w:rPr>
              <w:t>Wujal</w:t>
            </w:r>
            <w:proofErr w:type="spellEnd"/>
            <w:r w:rsidRPr="004C63CF">
              <w:rPr>
                <w:rFonts w:ascii="Arial" w:hAnsi="Arial"/>
              </w:rPr>
              <w:t xml:space="preserve"> </w:t>
            </w:r>
            <w:proofErr w:type="spellStart"/>
            <w:r w:rsidRPr="004C63CF">
              <w:rPr>
                <w:rFonts w:ascii="Arial" w:hAnsi="Arial"/>
              </w:rPr>
              <w:t>Wujal</w:t>
            </w:r>
            <w:proofErr w:type="spellEnd"/>
            <w:r w:rsidRPr="004C63CF">
              <w:rPr>
                <w:rFonts w:ascii="Arial" w:hAnsi="Arial"/>
              </w:rPr>
              <w:t xml:space="preserve"> and Yarrabah.</w:t>
            </w:r>
          </w:p>
        </w:tc>
      </w:tr>
      <w:tr w:rsidR="001426EA" w:rsidRPr="00BE0F6C" w14:paraId="641902F9" w14:textId="77777777" w:rsidTr="002C2968">
        <w:trPr>
          <w:trHeight w:hRule="exact" w:val="1544"/>
        </w:trPr>
        <w:tc>
          <w:tcPr>
            <w:tcW w:w="2694" w:type="dxa"/>
          </w:tcPr>
          <w:p w14:paraId="09A6F2E7" w14:textId="77777777" w:rsidR="001426EA" w:rsidRPr="004C63CF" w:rsidRDefault="001426EA" w:rsidP="00BE0F6C">
            <w:pPr>
              <w:rPr>
                <w:rFonts w:ascii="Arial" w:hAnsi="Arial"/>
              </w:rPr>
            </w:pPr>
            <w:r w:rsidRPr="004C63CF">
              <w:rPr>
                <w:rFonts w:ascii="Arial" w:hAnsi="Arial"/>
              </w:rPr>
              <w:t>Family Responsibilities Commission</w:t>
            </w:r>
          </w:p>
        </w:tc>
        <w:tc>
          <w:tcPr>
            <w:tcW w:w="7796" w:type="dxa"/>
          </w:tcPr>
          <w:p w14:paraId="64C13B9E" w14:textId="77777777" w:rsidR="001426EA" w:rsidRPr="004C63CF" w:rsidRDefault="001426EA" w:rsidP="00BE0F6C">
            <w:pPr>
              <w:rPr>
                <w:rFonts w:ascii="Arial" w:hAnsi="Arial"/>
              </w:rPr>
            </w:pPr>
            <w:r w:rsidRPr="004C63CF">
              <w:rPr>
                <w:rFonts w:ascii="Arial" w:hAnsi="Arial"/>
              </w:rPr>
              <w:t xml:space="preserve">The Family Responsibilities Commission is a statutory body, established under the </w:t>
            </w:r>
            <w:r w:rsidRPr="004C63CF">
              <w:rPr>
                <w:rFonts w:ascii="Arial" w:hAnsi="Arial"/>
                <w:i/>
                <w:iCs/>
              </w:rPr>
              <w:t>Queensland Family Responsibilities Commission Act 2008</w:t>
            </w:r>
            <w:r w:rsidRPr="004C63CF">
              <w:rPr>
                <w:rFonts w:ascii="Arial" w:hAnsi="Arial"/>
              </w:rPr>
              <w:t xml:space="preserve"> to support the establishment of local Aboriginal and Torres Strait Islander authority and the restoration of social norms in the Welfare Reform communities of Aurukun, Coen, Doomadgee, Hope Vale and Mossman Gorge.</w:t>
            </w:r>
          </w:p>
        </w:tc>
      </w:tr>
      <w:tr w:rsidR="001426EA" w:rsidRPr="00BE0F6C" w14:paraId="4BB0E550" w14:textId="77777777" w:rsidTr="002C2968">
        <w:trPr>
          <w:trHeight w:hRule="exact" w:val="1808"/>
        </w:trPr>
        <w:tc>
          <w:tcPr>
            <w:tcW w:w="2694" w:type="dxa"/>
          </w:tcPr>
          <w:p w14:paraId="2E93FDD9" w14:textId="77777777" w:rsidR="001426EA" w:rsidRPr="004C63CF" w:rsidRDefault="001426EA" w:rsidP="00BE0F6C">
            <w:pPr>
              <w:rPr>
                <w:rFonts w:ascii="Arial" w:hAnsi="Arial"/>
              </w:rPr>
            </w:pPr>
            <w:r w:rsidRPr="004C63CF">
              <w:rPr>
                <w:rFonts w:ascii="Arial" w:hAnsi="Arial"/>
              </w:rPr>
              <w:t>Full-time equivalent</w:t>
            </w:r>
          </w:p>
        </w:tc>
        <w:tc>
          <w:tcPr>
            <w:tcW w:w="7796" w:type="dxa"/>
          </w:tcPr>
          <w:p w14:paraId="68B6E660" w14:textId="2F96A332" w:rsidR="001426EA" w:rsidRPr="004C63CF" w:rsidRDefault="001426EA" w:rsidP="00BE0F6C">
            <w:pPr>
              <w:rPr>
                <w:rFonts w:ascii="Arial" w:hAnsi="Arial"/>
              </w:rPr>
            </w:pPr>
            <w:r w:rsidRPr="004C63CF">
              <w:rPr>
                <w:rFonts w:ascii="Arial" w:hAnsi="Arial"/>
              </w:rPr>
              <w:t xml:space="preserve">Full-time </w:t>
            </w:r>
            <w:r w:rsidR="00F66439" w:rsidRPr="004C63CF">
              <w:rPr>
                <w:rFonts w:ascii="Arial" w:hAnsi="Arial"/>
              </w:rPr>
              <w:t>equivalent is calculated by the number of hours worked in a period divided by the award full-time hours prescribed by the award/industrial instrument for the person’s position. For example, a person working 20 hours per week in a position prescribed as 40 hours has an FTE of 0.5. An organisation’s FTE is the sum of all FTEs. Minimum Obligatory Human Resources Information (MOHRI) business requirements mean that this period is the last full fortnight of a quarter.</w:t>
            </w:r>
          </w:p>
        </w:tc>
      </w:tr>
      <w:tr w:rsidR="00C66CEE" w:rsidRPr="00BE0F6C" w14:paraId="729B14ED" w14:textId="77777777" w:rsidTr="002C2968">
        <w:trPr>
          <w:trHeight w:hRule="exact" w:val="1253"/>
        </w:trPr>
        <w:tc>
          <w:tcPr>
            <w:tcW w:w="2694" w:type="dxa"/>
          </w:tcPr>
          <w:p w14:paraId="2E84652C" w14:textId="13DF06CD" w:rsidR="00C66CEE" w:rsidRPr="004C63CF" w:rsidRDefault="00C66CEE" w:rsidP="00BE0F6C">
            <w:pPr>
              <w:rPr>
                <w:rFonts w:ascii="Arial" w:hAnsi="Arial"/>
              </w:rPr>
            </w:pPr>
            <w:r w:rsidRPr="004C63CF">
              <w:rPr>
                <w:rFonts w:ascii="Arial" w:hAnsi="Arial"/>
              </w:rPr>
              <w:t>Governance</w:t>
            </w:r>
          </w:p>
        </w:tc>
        <w:tc>
          <w:tcPr>
            <w:tcW w:w="7796" w:type="dxa"/>
          </w:tcPr>
          <w:p w14:paraId="282A1CAE" w14:textId="44F28D7F" w:rsidR="00C66CEE" w:rsidRPr="004C63CF" w:rsidRDefault="00C66CEE" w:rsidP="00BE0F6C">
            <w:pPr>
              <w:rPr>
                <w:rFonts w:ascii="Arial" w:hAnsi="Arial"/>
              </w:rPr>
            </w:pPr>
            <w:r w:rsidRPr="004C63CF">
              <w:rPr>
                <w:rFonts w:ascii="Arial" w:hAnsi="Arial"/>
              </w:rPr>
              <w:t>The framework of rules, relationships, systems and processes within, and by which, authority is exercised and controlled within organisations. It encompasses the mechanisms by which organisations, and those in authority, are held to account.</w:t>
            </w:r>
          </w:p>
        </w:tc>
      </w:tr>
      <w:tr w:rsidR="00C66CEE" w:rsidRPr="00BE0F6C" w14:paraId="631171CC" w14:textId="77777777" w:rsidTr="002C2968">
        <w:trPr>
          <w:trHeight w:hRule="exact" w:val="991"/>
        </w:trPr>
        <w:tc>
          <w:tcPr>
            <w:tcW w:w="2694" w:type="dxa"/>
          </w:tcPr>
          <w:p w14:paraId="112B9B0B" w14:textId="700FC44B" w:rsidR="00C66CEE" w:rsidRPr="004C63CF" w:rsidRDefault="00C66CEE" w:rsidP="00BE0F6C">
            <w:pPr>
              <w:rPr>
                <w:rFonts w:ascii="Arial" w:hAnsi="Arial"/>
              </w:rPr>
            </w:pPr>
            <w:r w:rsidRPr="004C63CF">
              <w:rPr>
                <w:rFonts w:ascii="Arial" w:hAnsi="Arial"/>
              </w:rPr>
              <w:t>Human Services Quality Framework</w:t>
            </w:r>
          </w:p>
        </w:tc>
        <w:tc>
          <w:tcPr>
            <w:tcW w:w="7796" w:type="dxa"/>
          </w:tcPr>
          <w:p w14:paraId="50E7AE2A" w14:textId="575AE699" w:rsidR="00C66CEE" w:rsidRPr="004C63CF" w:rsidRDefault="00C66CEE" w:rsidP="00BE0F6C">
            <w:pPr>
              <w:rPr>
                <w:rFonts w:ascii="Arial" w:hAnsi="Arial"/>
              </w:rPr>
            </w:pPr>
            <w:r w:rsidRPr="004C63CF">
              <w:rPr>
                <w:rFonts w:ascii="Arial" w:hAnsi="Arial"/>
              </w:rPr>
              <w:t>A system for assessing and improving the quality of human services that applies to organisations delivering services under a service agreement with the department or other specified arrangements.</w:t>
            </w:r>
          </w:p>
        </w:tc>
      </w:tr>
      <w:tr w:rsidR="00861AB3" w:rsidRPr="00BE0F6C" w14:paraId="73023DBF" w14:textId="77777777" w:rsidTr="002C2968">
        <w:trPr>
          <w:trHeight w:hRule="exact" w:val="4820"/>
        </w:trPr>
        <w:tc>
          <w:tcPr>
            <w:tcW w:w="2694" w:type="dxa"/>
          </w:tcPr>
          <w:p w14:paraId="6F13E9EE" w14:textId="3045926E" w:rsidR="00861AB3" w:rsidRPr="004C63CF" w:rsidRDefault="00861AB3" w:rsidP="00BE0F6C">
            <w:pPr>
              <w:rPr>
                <w:rFonts w:ascii="Arial" w:hAnsi="Arial"/>
              </w:rPr>
            </w:pPr>
            <w:r w:rsidRPr="004C63CF">
              <w:rPr>
                <w:rFonts w:ascii="Arial" w:hAnsi="Arial"/>
              </w:rPr>
              <w:t>Land Holding Act Project</w:t>
            </w:r>
          </w:p>
        </w:tc>
        <w:tc>
          <w:tcPr>
            <w:tcW w:w="7796" w:type="dxa"/>
          </w:tcPr>
          <w:p w14:paraId="780F57B4" w14:textId="77777777" w:rsidR="00861AB3" w:rsidRPr="004C63CF" w:rsidRDefault="00861AB3" w:rsidP="00BE0F6C">
            <w:pPr>
              <w:rPr>
                <w:rFonts w:ascii="Arial" w:hAnsi="Arial"/>
              </w:rPr>
            </w:pPr>
            <w:r w:rsidRPr="004C63CF">
              <w:rPr>
                <w:rFonts w:ascii="Arial" w:hAnsi="Arial"/>
                <w:i/>
                <w:iCs/>
              </w:rPr>
              <w:t>Historical Land Holding Act (LHA) 1985</w:t>
            </w:r>
            <w:r w:rsidRPr="004C63CF">
              <w:rPr>
                <w:rFonts w:ascii="Arial" w:hAnsi="Arial"/>
              </w:rPr>
              <w:t xml:space="preserve"> – Refers to the original 1985 LHA legislation under which leases were approved or granted. This legislation was amended in 2013, see the </w:t>
            </w:r>
            <w:r w:rsidRPr="004C63CF">
              <w:rPr>
                <w:rFonts w:ascii="Arial" w:hAnsi="Arial"/>
                <w:i/>
                <w:iCs/>
              </w:rPr>
              <w:t>Aboriginal and Torres Strait Islander Land Holding Act 2013</w:t>
            </w:r>
            <w:r w:rsidRPr="004C63CF">
              <w:rPr>
                <w:rFonts w:ascii="Arial" w:hAnsi="Arial"/>
              </w:rPr>
              <w:t xml:space="preserve"> (</w:t>
            </w:r>
            <w:hyperlink r:id="rId11" w:history="1">
              <w:r w:rsidRPr="004C63CF">
                <w:rPr>
                  <w:rStyle w:val="Hyperlink"/>
                  <w:rFonts w:ascii="Arial" w:hAnsi="Arial"/>
                </w:rPr>
                <w:t>https://www.legislation.qld.gov.au/view/pdf/inforce/2013-09-23/act-2013-002</w:t>
              </w:r>
            </w:hyperlink>
            <w:r w:rsidRPr="004C63CF">
              <w:rPr>
                <w:rFonts w:ascii="Arial" w:hAnsi="Arial"/>
              </w:rPr>
              <w:t>)</w:t>
            </w:r>
          </w:p>
          <w:p w14:paraId="7FA49B1C" w14:textId="77777777" w:rsidR="00861AB3" w:rsidRPr="004C63CF" w:rsidRDefault="00861AB3" w:rsidP="00BE0F6C">
            <w:pPr>
              <w:rPr>
                <w:rFonts w:ascii="Arial" w:hAnsi="Arial"/>
              </w:rPr>
            </w:pPr>
            <w:r w:rsidRPr="004C63CF">
              <w:rPr>
                <w:rFonts w:ascii="Arial" w:hAnsi="Arial"/>
              </w:rPr>
              <w:t xml:space="preserve">Beneficiary assessments – Refers to the identification of beneficiaries for deceased estates that include LHA leases or lease entitlements, most commonly completed under Section 60 of the </w:t>
            </w:r>
            <w:r w:rsidRPr="004C63CF">
              <w:rPr>
                <w:rFonts w:ascii="Arial" w:hAnsi="Arial"/>
                <w:i/>
                <w:iCs/>
              </w:rPr>
              <w:t>Aboriginal and Torres Strait Islander Communities (Justice, Land and Other Matters) Act 1984</w:t>
            </w:r>
            <w:r w:rsidRPr="004C63CF">
              <w:rPr>
                <w:rFonts w:ascii="Arial" w:hAnsi="Arial"/>
              </w:rPr>
              <w:t xml:space="preserve"> (</w:t>
            </w:r>
            <w:hyperlink r:id="rId12" w:history="1">
              <w:r w:rsidRPr="004C63CF">
                <w:rPr>
                  <w:rStyle w:val="Hyperlink"/>
                  <w:rFonts w:ascii="Arial" w:hAnsi="Arial"/>
                </w:rPr>
                <w:t>https://www.legislation.qld.gov.au/view/pdf/inforce/2019-10-09/act-1984-051</w:t>
              </w:r>
            </w:hyperlink>
            <w:r w:rsidRPr="004C63CF">
              <w:rPr>
                <w:rFonts w:ascii="Arial" w:hAnsi="Arial"/>
              </w:rPr>
              <w:t>) (The average number of individuals consulted per beneficiary assessment is 7).</w:t>
            </w:r>
          </w:p>
          <w:p w14:paraId="6A023D9A" w14:textId="6E4732FB" w:rsidR="00861AB3" w:rsidRPr="004C63CF" w:rsidRDefault="00861AB3" w:rsidP="00BE0F6C">
            <w:pPr>
              <w:rPr>
                <w:rFonts w:ascii="Arial" w:hAnsi="Arial"/>
              </w:rPr>
            </w:pPr>
            <w:r w:rsidRPr="004C63CF">
              <w:rPr>
                <w:rFonts w:ascii="Arial" w:hAnsi="Arial"/>
              </w:rPr>
              <w:t xml:space="preserve">Engagement – Refers to consultation undertaken with leaseholders, lease entitlement holders, or their identified beneficiaries to provide information and assist </w:t>
            </w:r>
            <w:r w:rsidRPr="006D4C01">
              <w:rPr>
                <w:rFonts w:ascii="Arial" w:hAnsi="Arial"/>
              </w:rPr>
              <w:t>decision</w:t>
            </w:r>
            <w:r w:rsidR="00562965" w:rsidRPr="006D4C01">
              <w:rPr>
                <w:rFonts w:ascii="Arial" w:hAnsi="Arial"/>
              </w:rPr>
              <w:t>-</w:t>
            </w:r>
            <w:r w:rsidRPr="006D4C01">
              <w:rPr>
                <w:rFonts w:ascii="Arial" w:hAnsi="Arial"/>
              </w:rPr>
              <w:t>making</w:t>
            </w:r>
            <w:r w:rsidRPr="004C63CF">
              <w:rPr>
                <w:rFonts w:ascii="Arial" w:hAnsi="Arial"/>
              </w:rPr>
              <w:t xml:space="preserve"> in relation to the available Home Ownership options and associated responsibilities. This includes providing information about the option to surrender or transfer a lease. </w:t>
            </w:r>
          </w:p>
        </w:tc>
      </w:tr>
      <w:tr w:rsidR="00861AB3" w:rsidRPr="00BE0F6C" w14:paraId="2AA86128" w14:textId="77777777" w:rsidTr="002C2968">
        <w:trPr>
          <w:trHeight w:hRule="exact" w:val="1732"/>
        </w:trPr>
        <w:tc>
          <w:tcPr>
            <w:tcW w:w="2694" w:type="dxa"/>
          </w:tcPr>
          <w:p w14:paraId="5C5A123D" w14:textId="77777777" w:rsidR="00861AB3" w:rsidRPr="004C63CF" w:rsidRDefault="00861AB3" w:rsidP="00BE0F6C">
            <w:pPr>
              <w:rPr>
                <w:rFonts w:ascii="Arial" w:hAnsi="Arial"/>
              </w:rPr>
            </w:pPr>
            <w:r w:rsidRPr="004C63CF">
              <w:rPr>
                <w:rFonts w:ascii="Arial" w:hAnsi="Arial"/>
              </w:rPr>
              <w:lastRenderedPageBreak/>
              <w:t>Local Thriving Communities</w:t>
            </w:r>
          </w:p>
        </w:tc>
        <w:tc>
          <w:tcPr>
            <w:tcW w:w="7796" w:type="dxa"/>
          </w:tcPr>
          <w:p w14:paraId="13E348CA" w14:textId="66A3B7FE" w:rsidR="00861AB3" w:rsidRPr="004C63CF" w:rsidRDefault="00861AB3" w:rsidP="00BE0F6C">
            <w:pPr>
              <w:rPr>
                <w:rFonts w:ascii="Arial" w:hAnsi="Arial"/>
              </w:rPr>
            </w:pPr>
            <w:r w:rsidRPr="004C63CF">
              <w:rPr>
                <w:rFonts w:ascii="Arial" w:hAnsi="Arial"/>
              </w:rPr>
              <w:t>Local Thriving Communities (LTC) is the Queensland Government’s response to the Queensland Productivity Commission’s inquiry into service delivery in the state’s 19 remote and discrete Aboriginal and Torres Strait Islander Communities (QPC Report). LTC works with community, at their pace, to ensure that decision-making processes are informed directly by the needs and aspirations of community.</w:t>
            </w:r>
          </w:p>
          <w:p w14:paraId="067AA8BF" w14:textId="3EE936AC" w:rsidR="00861AB3" w:rsidRPr="004C63CF" w:rsidRDefault="00861AB3" w:rsidP="00BE0F6C">
            <w:pPr>
              <w:rPr>
                <w:rFonts w:ascii="Arial" w:hAnsi="Arial"/>
              </w:rPr>
            </w:pPr>
          </w:p>
        </w:tc>
      </w:tr>
      <w:tr w:rsidR="001426EA" w:rsidRPr="00BE0F6C" w14:paraId="426E9213" w14:textId="77777777" w:rsidTr="002C2968">
        <w:trPr>
          <w:trHeight w:hRule="exact" w:val="1275"/>
        </w:trPr>
        <w:tc>
          <w:tcPr>
            <w:tcW w:w="2694" w:type="dxa"/>
          </w:tcPr>
          <w:p w14:paraId="5F3C131E" w14:textId="77777777" w:rsidR="001426EA" w:rsidRPr="004C63CF" w:rsidRDefault="001426EA" w:rsidP="00BE0F6C">
            <w:pPr>
              <w:rPr>
                <w:rFonts w:ascii="Arial" w:hAnsi="Arial"/>
              </w:rPr>
            </w:pPr>
            <w:r w:rsidRPr="004C63CF">
              <w:rPr>
                <w:rFonts w:ascii="Arial" w:hAnsi="Arial"/>
              </w:rPr>
              <w:t>National Aborigines and Islanders Day Observance Committee (NAIDOC) Week</w:t>
            </w:r>
          </w:p>
        </w:tc>
        <w:tc>
          <w:tcPr>
            <w:tcW w:w="7796" w:type="dxa"/>
          </w:tcPr>
          <w:p w14:paraId="1EB653BF" w14:textId="77777777" w:rsidR="001426EA" w:rsidRPr="004C63CF" w:rsidRDefault="001426EA" w:rsidP="00BE0F6C">
            <w:pPr>
              <w:rPr>
                <w:rFonts w:ascii="Arial" w:hAnsi="Arial"/>
              </w:rPr>
            </w:pPr>
            <w:r w:rsidRPr="004C63CF">
              <w:rPr>
                <w:rFonts w:ascii="Arial" w:hAnsi="Arial"/>
              </w:rPr>
              <w:t>NAIDOC Week is recognised nationwide in the first full week of July. It is a time to celebrate Aboriginal and Torres Strait Islander cultures, and an opportunity to recognise the contributions that Aboriginal peoples and Torres Strait Islander peoples make to our country and our society.</w:t>
            </w:r>
          </w:p>
          <w:p w14:paraId="53B784CD" w14:textId="40FF86E9" w:rsidR="001426EA" w:rsidRPr="004C63CF" w:rsidRDefault="001426EA" w:rsidP="00BE0F6C">
            <w:pPr>
              <w:rPr>
                <w:rFonts w:ascii="Arial" w:hAnsi="Arial"/>
              </w:rPr>
            </w:pPr>
          </w:p>
        </w:tc>
      </w:tr>
      <w:tr w:rsidR="00C66CEE" w:rsidRPr="00BE0F6C" w14:paraId="26E047C7" w14:textId="77777777" w:rsidTr="002C2968">
        <w:trPr>
          <w:trHeight w:hRule="exact" w:val="1275"/>
        </w:trPr>
        <w:tc>
          <w:tcPr>
            <w:tcW w:w="2694" w:type="dxa"/>
          </w:tcPr>
          <w:p w14:paraId="3107527A" w14:textId="1A693EBE" w:rsidR="00C66CEE" w:rsidRPr="004C63CF" w:rsidRDefault="00C66CEE" w:rsidP="00BE0F6C">
            <w:pPr>
              <w:rPr>
                <w:rFonts w:ascii="Arial" w:hAnsi="Arial"/>
              </w:rPr>
            </w:pPr>
            <w:r w:rsidRPr="004C63CF">
              <w:rPr>
                <w:rFonts w:ascii="Arial" w:hAnsi="Arial"/>
              </w:rPr>
              <w:t>National Disability Insurance Agency</w:t>
            </w:r>
          </w:p>
        </w:tc>
        <w:tc>
          <w:tcPr>
            <w:tcW w:w="7796" w:type="dxa"/>
          </w:tcPr>
          <w:p w14:paraId="00F3DFE0" w14:textId="242AC4B5" w:rsidR="00C66CEE" w:rsidRPr="004C63CF" w:rsidRDefault="00C66CEE" w:rsidP="00BE0F6C">
            <w:pPr>
              <w:rPr>
                <w:rFonts w:ascii="Arial" w:hAnsi="Arial"/>
              </w:rPr>
            </w:pPr>
            <w:r w:rsidRPr="004C63CF">
              <w:rPr>
                <w:rFonts w:ascii="Arial" w:hAnsi="Arial"/>
              </w:rPr>
              <w:t>The National Disability Insurance Agency (NDIA) is an independent statutory agency whose role is to implement the National Disability Insurance Scheme (NDIS), which will support a better life for Australians with a significant and permanent disability and their families and carers.</w:t>
            </w:r>
          </w:p>
        </w:tc>
      </w:tr>
      <w:tr w:rsidR="00C66CEE" w:rsidRPr="00BE0F6C" w14:paraId="643C539E" w14:textId="77777777" w:rsidTr="002C2968">
        <w:trPr>
          <w:trHeight w:hRule="exact" w:val="1275"/>
        </w:trPr>
        <w:tc>
          <w:tcPr>
            <w:tcW w:w="2694" w:type="dxa"/>
          </w:tcPr>
          <w:p w14:paraId="5D3A22CB" w14:textId="5F2E1EFA" w:rsidR="00C66CEE" w:rsidRPr="004C63CF" w:rsidRDefault="00C66CEE" w:rsidP="00BE0F6C">
            <w:pPr>
              <w:rPr>
                <w:rFonts w:ascii="Arial" w:hAnsi="Arial"/>
              </w:rPr>
            </w:pPr>
            <w:r w:rsidRPr="004C63CF">
              <w:rPr>
                <w:rFonts w:ascii="Arial" w:hAnsi="Arial"/>
              </w:rPr>
              <w:t>National Disability Insurance Scheme</w:t>
            </w:r>
          </w:p>
        </w:tc>
        <w:tc>
          <w:tcPr>
            <w:tcW w:w="7796" w:type="dxa"/>
          </w:tcPr>
          <w:p w14:paraId="1A55AF8C" w14:textId="00E3CE97" w:rsidR="00C66CEE" w:rsidRPr="004C63CF" w:rsidRDefault="00C66CEE" w:rsidP="00BE0F6C">
            <w:pPr>
              <w:rPr>
                <w:rFonts w:ascii="Arial" w:hAnsi="Arial"/>
              </w:rPr>
            </w:pPr>
            <w:r w:rsidRPr="004C63CF">
              <w:rPr>
                <w:rFonts w:ascii="Arial" w:hAnsi="Arial"/>
              </w:rPr>
              <w:t>The National Disability Insurance Scheme (NDIS) is an Australian Government scheme that will support people with permanent and significant disability, and their families and carers. The NDIS will provide reasonable and necessary supports to people to live an ordinary life.</w:t>
            </w:r>
          </w:p>
        </w:tc>
      </w:tr>
      <w:tr w:rsidR="00C66CEE" w:rsidRPr="00BE0F6C" w14:paraId="386A3AF7" w14:textId="77777777" w:rsidTr="002C2968">
        <w:trPr>
          <w:trHeight w:hRule="exact" w:val="1275"/>
        </w:trPr>
        <w:tc>
          <w:tcPr>
            <w:tcW w:w="2694" w:type="dxa"/>
          </w:tcPr>
          <w:p w14:paraId="4A3CBE9B" w14:textId="6D1B66B0" w:rsidR="00C66CEE" w:rsidRPr="004C63CF" w:rsidRDefault="00C66CEE" w:rsidP="00BE0F6C">
            <w:pPr>
              <w:rPr>
                <w:rFonts w:ascii="Arial" w:hAnsi="Arial"/>
              </w:rPr>
            </w:pPr>
            <w:r w:rsidRPr="004C63CF">
              <w:rPr>
                <w:rFonts w:ascii="Arial" w:hAnsi="Arial"/>
              </w:rPr>
              <w:t>National partnership agreements</w:t>
            </w:r>
          </w:p>
        </w:tc>
        <w:tc>
          <w:tcPr>
            <w:tcW w:w="7796" w:type="dxa"/>
          </w:tcPr>
          <w:p w14:paraId="17692983" w14:textId="4E4200DC" w:rsidR="00C66CEE" w:rsidRPr="004C63CF" w:rsidRDefault="00C66CEE" w:rsidP="00BE0F6C">
            <w:pPr>
              <w:rPr>
                <w:rFonts w:ascii="Arial" w:hAnsi="Arial"/>
              </w:rPr>
            </w:pPr>
            <w:r w:rsidRPr="004C63CF">
              <w:rPr>
                <w:rFonts w:ascii="Arial" w:hAnsi="Arial"/>
              </w:rPr>
              <w:t>National partnership agreements are agreements between the Commonwealth of Australia and state and territory governments. The agreements include objectives, outcomes, outputs and performance indicators, and roles and responsibilities that will guide the delivery of services across relevant sectors.</w:t>
            </w:r>
          </w:p>
        </w:tc>
      </w:tr>
      <w:tr w:rsidR="001426EA" w:rsidRPr="00BE0F6C" w14:paraId="75018AFE" w14:textId="77777777" w:rsidTr="002C2968">
        <w:trPr>
          <w:trHeight w:hRule="exact" w:val="971"/>
        </w:trPr>
        <w:tc>
          <w:tcPr>
            <w:tcW w:w="2694" w:type="dxa"/>
          </w:tcPr>
          <w:p w14:paraId="26E6C86F" w14:textId="77777777" w:rsidR="001426EA" w:rsidRPr="004C63CF" w:rsidRDefault="001426EA" w:rsidP="00BE0F6C">
            <w:pPr>
              <w:rPr>
                <w:rFonts w:ascii="Arial" w:hAnsi="Arial"/>
              </w:rPr>
            </w:pPr>
            <w:r w:rsidRPr="004C63CF">
              <w:rPr>
                <w:rFonts w:ascii="Arial" w:hAnsi="Arial"/>
              </w:rPr>
              <w:t>Native Title</w:t>
            </w:r>
          </w:p>
        </w:tc>
        <w:tc>
          <w:tcPr>
            <w:tcW w:w="7796" w:type="dxa"/>
          </w:tcPr>
          <w:p w14:paraId="7EA40284" w14:textId="77777777" w:rsidR="001426EA" w:rsidRPr="004C63CF" w:rsidRDefault="001426EA" w:rsidP="00BE0F6C">
            <w:pPr>
              <w:rPr>
                <w:rFonts w:ascii="Arial" w:hAnsi="Arial"/>
              </w:rPr>
            </w:pPr>
            <w:r w:rsidRPr="004C63CF">
              <w:rPr>
                <w:rFonts w:ascii="Arial" w:hAnsi="Arial"/>
              </w:rPr>
              <w:t>Native Title is the recognition by Australian law that some Aboriginal peoples and Torres Strait Islander peoples have rights to their lands and territories that derive from traditional laws and customs.</w:t>
            </w:r>
          </w:p>
        </w:tc>
      </w:tr>
      <w:tr w:rsidR="001426EA" w:rsidRPr="00BE0F6C" w14:paraId="67524811" w14:textId="77777777" w:rsidTr="002C2968">
        <w:trPr>
          <w:trHeight w:hRule="exact" w:val="971"/>
        </w:trPr>
        <w:tc>
          <w:tcPr>
            <w:tcW w:w="2694" w:type="dxa"/>
          </w:tcPr>
          <w:p w14:paraId="573E3B04" w14:textId="77777777" w:rsidR="001426EA" w:rsidRPr="004C63CF" w:rsidRDefault="001426EA" w:rsidP="00BE0F6C">
            <w:pPr>
              <w:rPr>
                <w:rFonts w:ascii="Arial" w:hAnsi="Arial"/>
              </w:rPr>
            </w:pPr>
            <w:r w:rsidRPr="004C63CF">
              <w:rPr>
                <w:rFonts w:ascii="Arial" w:hAnsi="Arial"/>
              </w:rPr>
              <w:t>Path to Treaty</w:t>
            </w:r>
          </w:p>
        </w:tc>
        <w:tc>
          <w:tcPr>
            <w:tcW w:w="7796" w:type="dxa"/>
          </w:tcPr>
          <w:p w14:paraId="096AF554" w14:textId="77777777" w:rsidR="001426EA" w:rsidRPr="004C63CF" w:rsidRDefault="001426EA" w:rsidP="00BE0F6C">
            <w:pPr>
              <w:rPr>
                <w:rFonts w:ascii="Arial" w:hAnsi="Arial"/>
              </w:rPr>
            </w:pPr>
            <w:r w:rsidRPr="004C63CF">
              <w:rPr>
                <w:rFonts w:ascii="Arial" w:hAnsi="Arial"/>
              </w:rPr>
              <w:t>Path to Treaty represents a once-in-a-generation opportunity to come together as Queenslanders to start a journey towards a future that is more just, equal and respectful for First Nations Queenslanders.</w:t>
            </w:r>
          </w:p>
        </w:tc>
      </w:tr>
      <w:tr w:rsidR="00F66439" w:rsidRPr="00BE0F6C" w14:paraId="12252C85" w14:textId="77777777" w:rsidTr="002C2968">
        <w:trPr>
          <w:trHeight w:hRule="exact" w:val="971"/>
        </w:trPr>
        <w:tc>
          <w:tcPr>
            <w:tcW w:w="2694" w:type="dxa"/>
          </w:tcPr>
          <w:p w14:paraId="582729C9" w14:textId="02430158" w:rsidR="00F66439" w:rsidRPr="004C63CF" w:rsidRDefault="00F66439" w:rsidP="00BE0F6C">
            <w:pPr>
              <w:rPr>
                <w:rFonts w:ascii="Arial" w:hAnsi="Arial"/>
              </w:rPr>
            </w:pPr>
            <w:r w:rsidRPr="004C63CF">
              <w:rPr>
                <w:rFonts w:ascii="Arial" w:hAnsi="Arial"/>
              </w:rPr>
              <w:t>Permanent separation rate</w:t>
            </w:r>
          </w:p>
        </w:tc>
        <w:tc>
          <w:tcPr>
            <w:tcW w:w="7796" w:type="dxa"/>
          </w:tcPr>
          <w:p w14:paraId="717AE161" w14:textId="5F972D43" w:rsidR="00F66439" w:rsidRPr="004C63CF" w:rsidRDefault="00F66439" w:rsidP="00BE0F6C">
            <w:pPr>
              <w:rPr>
                <w:rFonts w:ascii="Arial" w:hAnsi="Arial"/>
              </w:rPr>
            </w:pPr>
            <w:r w:rsidRPr="004C63CF">
              <w:rPr>
                <w:rFonts w:ascii="Arial" w:hAnsi="Arial"/>
              </w:rPr>
              <w:t xml:space="preserve">Separation rate is calculated by dividing the number of permanent employees who separated during </w:t>
            </w:r>
            <w:proofErr w:type="gramStart"/>
            <w:r w:rsidRPr="004C63CF">
              <w:rPr>
                <w:rFonts w:ascii="Arial" w:hAnsi="Arial"/>
              </w:rPr>
              <w:t>a period of time</w:t>
            </w:r>
            <w:proofErr w:type="gramEnd"/>
            <w:r w:rsidRPr="004C63CF">
              <w:rPr>
                <w:rFonts w:ascii="Arial" w:hAnsi="Arial"/>
              </w:rPr>
              <w:t xml:space="preserve"> by the number of permanent employees in the organisation.</w:t>
            </w:r>
          </w:p>
        </w:tc>
      </w:tr>
      <w:tr w:rsidR="001426EA" w:rsidRPr="00BE0F6C" w14:paraId="5C18EAA7" w14:textId="77777777" w:rsidTr="002C2968">
        <w:trPr>
          <w:trHeight w:hRule="exact" w:val="1206"/>
        </w:trPr>
        <w:tc>
          <w:tcPr>
            <w:tcW w:w="2694" w:type="dxa"/>
          </w:tcPr>
          <w:p w14:paraId="5AA3A8FD" w14:textId="77777777" w:rsidR="001426EA" w:rsidRPr="004C63CF" w:rsidRDefault="001426EA" w:rsidP="00BE0F6C">
            <w:pPr>
              <w:rPr>
                <w:rFonts w:ascii="Arial" w:hAnsi="Arial"/>
              </w:rPr>
            </w:pPr>
            <w:r w:rsidRPr="004C63CF">
              <w:rPr>
                <w:rFonts w:ascii="Arial" w:hAnsi="Arial"/>
              </w:rPr>
              <w:t>Planning schemes</w:t>
            </w:r>
          </w:p>
        </w:tc>
        <w:tc>
          <w:tcPr>
            <w:tcW w:w="7796" w:type="dxa"/>
          </w:tcPr>
          <w:p w14:paraId="5396D291" w14:textId="77777777" w:rsidR="001426EA" w:rsidRPr="004C63CF" w:rsidRDefault="001426EA" w:rsidP="00BE0F6C">
            <w:pPr>
              <w:rPr>
                <w:rFonts w:ascii="Arial" w:hAnsi="Arial"/>
              </w:rPr>
            </w:pPr>
            <w:r w:rsidRPr="004C63CF">
              <w:rPr>
                <w:rFonts w:ascii="Arial" w:hAnsi="Arial"/>
              </w:rPr>
              <w:t>Planning schemes provide Aboriginal councils and Torres Strait Island councils with information to underpin decisions about the sustainable use of the community’s land.</w:t>
            </w:r>
          </w:p>
        </w:tc>
      </w:tr>
      <w:tr w:rsidR="001426EA" w:rsidRPr="00BE0F6C" w14:paraId="3D977507" w14:textId="77777777" w:rsidTr="002C2968">
        <w:trPr>
          <w:trHeight w:hRule="exact" w:val="2720"/>
        </w:trPr>
        <w:tc>
          <w:tcPr>
            <w:tcW w:w="2694" w:type="dxa"/>
          </w:tcPr>
          <w:p w14:paraId="42EEEAAD" w14:textId="77777777" w:rsidR="001426EA" w:rsidRPr="004C63CF" w:rsidRDefault="001426EA" w:rsidP="00BE0F6C">
            <w:pPr>
              <w:rPr>
                <w:rFonts w:ascii="Arial" w:hAnsi="Arial"/>
              </w:rPr>
            </w:pPr>
            <w:r w:rsidRPr="004C63CF">
              <w:rPr>
                <w:rFonts w:ascii="Arial" w:hAnsi="Arial"/>
              </w:rPr>
              <w:t>Remote and discrete Aboriginal and Torres Strait Islander communities</w:t>
            </w:r>
          </w:p>
        </w:tc>
        <w:tc>
          <w:tcPr>
            <w:tcW w:w="7796" w:type="dxa"/>
          </w:tcPr>
          <w:p w14:paraId="62ADB8CD" w14:textId="77777777" w:rsidR="001426EA" w:rsidRPr="004C63CF" w:rsidRDefault="001426EA" w:rsidP="00BE0F6C">
            <w:pPr>
              <w:rPr>
                <w:rFonts w:ascii="Arial" w:hAnsi="Arial"/>
              </w:rPr>
            </w:pPr>
            <w:r w:rsidRPr="004C63CF">
              <w:rPr>
                <w:rFonts w:ascii="Arial" w:hAnsi="Arial"/>
              </w:rPr>
              <w:t xml:space="preserve">This term refers to the following 34 Aboriginal and Torres Strait Islander communities: Aurukun, Bamaga, Cherbourg, Doomadgee, Hope Vale, Injinoo, Kowanyama, Lockhart River, Mapoon, Mornington Island, </w:t>
            </w:r>
            <w:proofErr w:type="spellStart"/>
            <w:r w:rsidRPr="004C63CF">
              <w:rPr>
                <w:rFonts w:ascii="Arial" w:hAnsi="Arial"/>
              </w:rPr>
              <w:t>Napranum</w:t>
            </w:r>
            <w:proofErr w:type="spellEnd"/>
            <w:r w:rsidRPr="004C63CF">
              <w:rPr>
                <w:rFonts w:ascii="Arial" w:hAnsi="Arial"/>
              </w:rPr>
              <w:t xml:space="preserve">, New Mapoon, Palm Island, </w:t>
            </w:r>
            <w:proofErr w:type="spellStart"/>
            <w:r w:rsidRPr="004C63CF">
              <w:rPr>
                <w:rFonts w:ascii="Arial" w:hAnsi="Arial"/>
              </w:rPr>
              <w:t>Pormpuraaw</w:t>
            </w:r>
            <w:proofErr w:type="spellEnd"/>
            <w:r w:rsidRPr="004C63CF">
              <w:rPr>
                <w:rFonts w:ascii="Arial" w:hAnsi="Arial"/>
              </w:rPr>
              <w:t xml:space="preserve">, </w:t>
            </w:r>
            <w:proofErr w:type="spellStart"/>
            <w:r w:rsidRPr="004C63CF">
              <w:rPr>
                <w:rFonts w:ascii="Arial" w:hAnsi="Arial"/>
              </w:rPr>
              <w:t>Seisia</w:t>
            </w:r>
            <w:proofErr w:type="spellEnd"/>
            <w:r w:rsidRPr="004C63CF">
              <w:rPr>
                <w:rFonts w:ascii="Arial" w:hAnsi="Arial"/>
              </w:rPr>
              <w:t xml:space="preserve">, </w:t>
            </w:r>
            <w:proofErr w:type="spellStart"/>
            <w:r w:rsidRPr="004C63CF">
              <w:rPr>
                <w:rFonts w:ascii="Arial" w:hAnsi="Arial"/>
              </w:rPr>
              <w:t>Umagico</w:t>
            </w:r>
            <w:proofErr w:type="spellEnd"/>
            <w:r w:rsidRPr="004C63CF">
              <w:rPr>
                <w:rFonts w:ascii="Arial" w:hAnsi="Arial"/>
              </w:rPr>
              <w:t xml:space="preserve">, Woorabinda, </w:t>
            </w:r>
            <w:proofErr w:type="spellStart"/>
            <w:r w:rsidRPr="004C63CF">
              <w:rPr>
                <w:rFonts w:ascii="Arial" w:hAnsi="Arial"/>
              </w:rPr>
              <w:t>Wujal</w:t>
            </w:r>
            <w:proofErr w:type="spellEnd"/>
            <w:r w:rsidRPr="004C63CF">
              <w:rPr>
                <w:rFonts w:ascii="Arial" w:hAnsi="Arial"/>
              </w:rPr>
              <w:t xml:space="preserve"> </w:t>
            </w:r>
            <w:proofErr w:type="spellStart"/>
            <w:r w:rsidRPr="004C63CF">
              <w:rPr>
                <w:rFonts w:ascii="Arial" w:hAnsi="Arial"/>
              </w:rPr>
              <w:t>Wujal</w:t>
            </w:r>
            <w:proofErr w:type="spellEnd"/>
            <w:r w:rsidRPr="004C63CF">
              <w:rPr>
                <w:rFonts w:ascii="Arial" w:hAnsi="Arial"/>
              </w:rPr>
              <w:t xml:space="preserve">, Yarrabah, and the Torres Strait islands of Badu, </w:t>
            </w:r>
            <w:proofErr w:type="spellStart"/>
            <w:r w:rsidRPr="004C63CF">
              <w:rPr>
                <w:rFonts w:ascii="Arial" w:hAnsi="Arial"/>
              </w:rPr>
              <w:t>Boigu</w:t>
            </w:r>
            <w:proofErr w:type="spellEnd"/>
            <w:r w:rsidRPr="004C63CF">
              <w:rPr>
                <w:rFonts w:ascii="Arial" w:hAnsi="Arial"/>
              </w:rPr>
              <w:t xml:space="preserve">, </w:t>
            </w:r>
            <w:proofErr w:type="spellStart"/>
            <w:r w:rsidRPr="004C63CF">
              <w:rPr>
                <w:rFonts w:ascii="Arial" w:hAnsi="Arial"/>
              </w:rPr>
              <w:t>Dauan</w:t>
            </w:r>
            <w:proofErr w:type="spellEnd"/>
            <w:r w:rsidRPr="004C63CF">
              <w:rPr>
                <w:rFonts w:ascii="Arial" w:hAnsi="Arial"/>
              </w:rPr>
              <w:t xml:space="preserve">, </w:t>
            </w:r>
            <w:proofErr w:type="spellStart"/>
            <w:r w:rsidRPr="004C63CF">
              <w:rPr>
                <w:rFonts w:ascii="Arial" w:hAnsi="Arial"/>
              </w:rPr>
              <w:t>Erub</w:t>
            </w:r>
            <w:proofErr w:type="spellEnd"/>
            <w:r w:rsidRPr="004C63CF">
              <w:rPr>
                <w:rFonts w:ascii="Arial" w:hAnsi="Arial"/>
              </w:rPr>
              <w:t xml:space="preserve"> (Darnley), Hammond, </w:t>
            </w:r>
            <w:proofErr w:type="spellStart"/>
            <w:r w:rsidRPr="004C63CF">
              <w:rPr>
                <w:rFonts w:ascii="Arial" w:hAnsi="Arial"/>
              </w:rPr>
              <w:t>Iama</w:t>
            </w:r>
            <w:proofErr w:type="spellEnd"/>
            <w:r w:rsidRPr="004C63CF">
              <w:rPr>
                <w:rFonts w:ascii="Arial" w:hAnsi="Arial"/>
              </w:rPr>
              <w:t xml:space="preserve"> (Yam), </w:t>
            </w:r>
            <w:proofErr w:type="spellStart"/>
            <w:r w:rsidRPr="004C63CF">
              <w:rPr>
                <w:rFonts w:ascii="Arial" w:hAnsi="Arial"/>
              </w:rPr>
              <w:t>Kubin</w:t>
            </w:r>
            <w:proofErr w:type="spellEnd"/>
            <w:r w:rsidRPr="004C63CF">
              <w:rPr>
                <w:rFonts w:ascii="Arial" w:hAnsi="Arial"/>
              </w:rPr>
              <w:t xml:space="preserve"> (Moa), Mabuiag, Mer (Murray), </w:t>
            </w:r>
            <w:proofErr w:type="spellStart"/>
            <w:r w:rsidRPr="004C63CF">
              <w:rPr>
                <w:rFonts w:ascii="Arial" w:hAnsi="Arial"/>
              </w:rPr>
              <w:t>Poruma</w:t>
            </w:r>
            <w:proofErr w:type="spellEnd"/>
            <w:r w:rsidRPr="004C63CF">
              <w:rPr>
                <w:rFonts w:ascii="Arial" w:hAnsi="Arial"/>
              </w:rPr>
              <w:t xml:space="preserve"> (Coconut), Saibai, St Pauls (Moa), </w:t>
            </w:r>
            <w:proofErr w:type="spellStart"/>
            <w:r w:rsidRPr="004C63CF">
              <w:rPr>
                <w:rFonts w:ascii="Arial" w:hAnsi="Arial"/>
              </w:rPr>
              <w:t>Ugar</w:t>
            </w:r>
            <w:proofErr w:type="spellEnd"/>
            <w:r w:rsidRPr="004C63CF">
              <w:rPr>
                <w:rFonts w:ascii="Arial" w:hAnsi="Arial"/>
              </w:rPr>
              <w:t xml:space="preserve"> (Stephens), </w:t>
            </w:r>
            <w:proofErr w:type="spellStart"/>
            <w:r w:rsidRPr="004C63CF">
              <w:rPr>
                <w:rFonts w:ascii="Arial" w:hAnsi="Arial"/>
              </w:rPr>
              <w:t>Warraber</w:t>
            </w:r>
            <w:proofErr w:type="spellEnd"/>
            <w:r w:rsidRPr="004C63CF">
              <w:rPr>
                <w:rFonts w:ascii="Arial" w:hAnsi="Arial"/>
              </w:rPr>
              <w:t xml:space="preserve"> and Yorke. In some instances, this also includes the communities of Laura, Mossman Gorge, Coen and Torres Shire (Thursday Island, </w:t>
            </w:r>
            <w:proofErr w:type="spellStart"/>
            <w:r w:rsidRPr="004C63CF">
              <w:rPr>
                <w:rFonts w:ascii="Arial" w:hAnsi="Arial"/>
              </w:rPr>
              <w:t>Ngarupai</w:t>
            </w:r>
            <w:proofErr w:type="spellEnd"/>
            <w:r w:rsidRPr="004C63CF">
              <w:rPr>
                <w:rFonts w:ascii="Arial" w:hAnsi="Arial"/>
              </w:rPr>
              <w:t xml:space="preserve"> (Horn Island) and Prince of Wales).</w:t>
            </w:r>
          </w:p>
        </w:tc>
      </w:tr>
      <w:tr w:rsidR="00C66CEE" w:rsidRPr="00BE0F6C" w14:paraId="7A17C25D" w14:textId="77777777" w:rsidTr="002C2968">
        <w:trPr>
          <w:trHeight w:hRule="exact" w:val="811"/>
        </w:trPr>
        <w:tc>
          <w:tcPr>
            <w:tcW w:w="2694" w:type="dxa"/>
          </w:tcPr>
          <w:p w14:paraId="256E5449" w14:textId="5BD4D588" w:rsidR="00C66CEE" w:rsidRPr="004C63CF" w:rsidRDefault="00C66CEE" w:rsidP="00BE0F6C">
            <w:pPr>
              <w:rPr>
                <w:rFonts w:ascii="Arial" w:hAnsi="Arial"/>
              </w:rPr>
            </w:pPr>
            <w:r w:rsidRPr="004C63CF">
              <w:rPr>
                <w:rFonts w:ascii="Arial" w:hAnsi="Arial"/>
              </w:rPr>
              <w:t>Respite services</w:t>
            </w:r>
          </w:p>
        </w:tc>
        <w:tc>
          <w:tcPr>
            <w:tcW w:w="7796" w:type="dxa"/>
          </w:tcPr>
          <w:p w14:paraId="14A431D0" w14:textId="0F05A23A" w:rsidR="00C66CEE" w:rsidRPr="004C63CF" w:rsidRDefault="00C66CEE" w:rsidP="00BE0F6C">
            <w:pPr>
              <w:rPr>
                <w:rFonts w:ascii="Arial" w:hAnsi="Arial"/>
              </w:rPr>
            </w:pPr>
            <w:r w:rsidRPr="004C63CF">
              <w:rPr>
                <w:rFonts w:ascii="Arial" w:hAnsi="Arial"/>
              </w:rPr>
              <w:t>Services that provide short-term, temporary relief to those who are caring for family members who might otherwise require permanent placement in a facility outside the home.</w:t>
            </w:r>
          </w:p>
        </w:tc>
      </w:tr>
      <w:tr w:rsidR="00C66CEE" w:rsidRPr="00BE0F6C" w14:paraId="141E8F20" w14:textId="77777777" w:rsidTr="002C2968">
        <w:trPr>
          <w:trHeight w:hRule="exact" w:val="1602"/>
        </w:trPr>
        <w:tc>
          <w:tcPr>
            <w:tcW w:w="2694" w:type="dxa"/>
          </w:tcPr>
          <w:p w14:paraId="3B9D27ED" w14:textId="48547786" w:rsidR="00C66CEE" w:rsidRPr="004C63CF" w:rsidRDefault="00C66CEE" w:rsidP="00BE0F6C">
            <w:pPr>
              <w:rPr>
                <w:rFonts w:ascii="Arial" w:hAnsi="Arial"/>
              </w:rPr>
            </w:pPr>
            <w:r w:rsidRPr="004C63CF">
              <w:rPr>
                <w:rFonts w:ascii="Arial" w:hAnsi="Arial"/>
              </w:rPr>
              <w:lastRenderedPageBreak/>
              <w:t>Restrictive practices</w:t>
            </w:r>
          </w:p>
        </w:tc>
        <w:tc>
          <w:tcPr>
            <w:tcW w:w="7796" w:type="dxa"/>
          </w:tcPr>
          <w:p w14:paraId="17117768" w14:textId="7A5A8CB6" w:rsidR="00C66CEE" w:rsidRPr="004C63CF" w:rsidRDefault="00C66CEE" w:rsidP="00BE0F6C">
            <w:pPr>
              <w:rPr>
                <w:rFonts w:ascii="Arial" w:hAnsi="Arial"/>
              </w:rPr>
            </w:pPr>
            <w:r w:rsidRPr="004C63CF">
              <w:rPr>
                <w:rFonts w:ascii="Arial" w:hAnsi="Arial"/>
              </w:rPr>
              <w:t>Interventions such as: containment or seclusion; chemical restraint; mechanical restraint and physical restraint; or restricting access (for example, to objects by locking cupboards). These practices are required for adults with intellectual or cognitive disability who exhibit behaviour that places themselves or others at risk of harm.</w:t>
            </w:r>
          </w:p>
        </w:tc>
      </w:tr>
      <w:tr w:rsidR="001426EA" w:rsidRPr="00BE0F6C" w14:paraId="33DC8005" w14:textId="77777777" w:rsidTr="002C2968">
        <w:trPr>
          <w:trHeight w:hRule="exact" w:val="2712"/>
        </w:trPr>
        <w:tc>
          <w:tcPr>
            <w:tcW w:w="2694" w:type="dxa"/>
          </w:tcPr>
          <w:p w14:paraId="10DA28FB" w14:textId="50FD0665" w:rsidR="001426EA" w:rsidRPr="004C63CF" w:rsidRDefault="001426EA" w:rsidP="00BE0F6C">
            <w:pPr>
              <w:rPr>
                <w:rFonts w:ascii="Arial" w:hAnsi="Arial"/>
              </w:rPr>
            </w:pPr>
            <w:r w:rsidRPr="004C63CF">
              <w:rPr>
                <w:rFonts w:ascii="Arial" w:hAnsi="Arial"/>
              </w:rPr>
              <w:t>Targeted</w:t>
            </w:r>
            <w:r w:rsidR="00C66CEE" w:rsidRPr="004C63CF">
              <w:rPr>
                <w:rFonts w:ascii="Arial" w:hAnsi="Arial"/>
              </w:rPr>
              <w:t xml:space="preserve"> Aboriginal and Torres Strait Islander</w:t>
            </w:r>
            <w:r w:rsidRPr="004C63CF">
              <w:rPr>
                <w:rFonts w:ascii="Arial" w:hAnsi="Arial"/>
              </w:rPr>
              <w:t xml:space="preserve"> communities</w:t>
            </w:r>
          </w:p>
        </w:tc>
        <w:tc>
          <w:tcPr>
            <w:tcW w:w="7796" w:type="dxa"/>
          </w:tcPr>
          <w:p w14:paraId="1C62D909" w14:textId="77777777" w:rsidR="001426EA" w:rsidRPr="004C63CF" w:rsidRDefault="001426EA" w:rsidP="00BE0F6C">
            <w:pPr>
              <w:rPr>
                <w:rFonts w:ascii="Arial" w:hAnsi="Arial"/>
              </w:rPr>
            </w:pPr>
            <w:r w:rsidRPr="004C63CF">
              <w:rPr>
                <w:rFonts w:ascii="Arial" w:hAnsi="Arial"/>
              </w:rPr>
              <w:t>The term ‘targeted communities’ is used throughout the report in relation to the Service Delivery Statement performance measure–number of houses made available for ownership by Aboriginal peoples and Torres Strait Islander peoples in targeted communities through Queensland Government investment.</w:t>
            </w:r>
          </w:p>
          <w:p w14:paraId="172CFC6C" w14:textId="77777777" w:rsidR="001426EA" w:rsidRPr="004C63CF" w:rsidRDefault="001426EA" w:rsidP="00BE0F6C">
            <w:pPr>
              <w:rPr>
                <w:rFonts w:ascii="Arial" w:hAnsi="Arial"/>
              </w:rPr>
            </w:pPr>
            <w:r w:rsidRPr="004C63CF">
              <w:rPr>
                <w:rFonts w:ascii="Arial" w:hAnsi="Arial"/>
              </w:rPr>
              <w:t xml:space="preserve">These communities include: Aurukun, Cherbourg, Woorabinda, Doomadgee, Hope Vale, Kowanyama, Lockhart River, Mapoon, Mornington Island, </w:t>
            </w:r>
            <w:proofErr w:type="spellStart"/>
            <w:r w:rsidRPr="004C63CF">
              <w:rPr>
                <w:rFonts w:ascii="Arial" w:hAnsi="Arial"/>
              </w:rPr>
              <w:t>Napranum</w:t>
            </w:r>
            <w:proofErr w:type="spellEnd"/>
            <w:r w:rsidRPr="004C63CF">
              <w:rPr>
                <w:rFonts w:ascii="Arial" w:hAnsi="Arial"/>
              </w:rPr>
              <w:t xml:space="preserve">, Northern Peninsula Area (5 communities), Palm Island, </w:t>
            </w:r>
            <w:proofErr w:type="spellStart"/>
            <w:r w:rsidRPr="004C63CF">
              <w:rPr>
                <w:rFonts w:ascii="Arial" w:hAnsi="Arial"/>
              </w:rPr>
              <w:t>Pormpuraaw</w:t>
            </w:r>
            <w:proofErr w:type="spellEnd"/>
            <w:r w:rsidRPr="004C63CF">
              <w:rPr>
                <w:rFonts w:ascii="Arial" w:hAnsi="Arial"/>
              </w:rPr>
              <w:t xml:space="preserve">, Yarrabah, </w:t>
            </w:r>
            <w:proofErr w:type="spellStart"/>
            <w:r w:rsidRPr="004C63CF">
              <w:rPr>
                <w:rFonts w:ascii="Arial" w:hAnsi="Arial"/>
              </w:rPr>
              <w:t>Wujal</w:t>
            </w:r>
            <w:proofErr w:type="spellEnd"/>
            <w:r w:rsidRPr="004C63CF">
              <w:rPr>
                <w:rFonts w:ascii="Arial" w:hAnsi="Arial"/>
              </w:rPr>
              <w:t xml:space="preserve"> </w:t>
            </w:r>
            <w:proofErr w:type="spellStart"/>
            <w:r w:rsidRPr="004C63CF">
              <w:rPr>
                <w:rFonts w:ascii="Arial" w:hAnsi="Arial"/>
              </w:rPr>
              <w:t>Wujal</w:t>
            </w:r>
            <w:proofErr w:type="spellEnd"/>
            <w:r w:rsidRPr="004C63CF">
              <w:rPr>
                <w:rFonts w:ascii="Arial" w:hAnsi="Arial"/>
              </w:rPr>
              <w:t>, Torres Strait islands (15 islands), Coen and Mossman Gorge.</w:t>
            </w:r>
          </w:p>
        </w:tc>
      </w:tr>
      <w:tr w:rsidR="001426EA" w:rsidRPr="00BE0F6C" w14:paraId="51D7F3FE" w14:textId="77777777" w:rsidTr="002C2968">
        <w:trPr>
          <w:trHeight w:hRule="exact" w:val="1451"/>
        </w:trPr>
        <w:tc>
          <w:tcPr>
            <w:tcW w:w="2694" w:type="dxa"/>
          </w:tcPr>
          <w:p w14:paraId="2D280FEB" w14:textId="77777777" w:rsidR="001426EA" w:rsidRPr="004C63CF" w:rsidRDefault="001426EA" w:rsidP="00BE0F6C">
            <w:pPr>
              <w:rPr>
                <w:rFonts w:ascii="Arial" w:hAnsi="Arial"/>
              </w:rPr>
            </w:pPr>
            <w:r w:rsidRPr="004C63CF">
              <w:rPr>
                <w:rFonts w:ascii="Arial" w:hAnsi="Arial"/>
              </w:rPr>
              <w:t>Tracks to Treaty</w:t>
            </w:r>
          </w:p>
        </w:tc>
        <w:tc>
          <w:tcPr>
            <w:tcW w:w="7796" w:type="dxa"/>
          </w:tcPr>
          <w:p w14:paraId="74F76483" w14:textId="77777777" w:rsidR="001426EA" w:rsidRPr="004C63CF" w:rsidRDefault="001426EA" w:rsidP="00BE0F6C">
            <w:pPr>
              <w:rPr>
                <w:rFonts w:ascii="Arial" w:hAnsi="Arial"/>
              </w:rPr>
            </w:pPr>
            <w:r w:rsidRPr="004C63CF">
              <w:rPr>
                <w:rFonts w:ascii="Arial" w:hAnsi="Arial"/>
              </w:rPr>
              <w:t xml:space="preserve">Tracks to Treaty is a Queensland Government agenda </w:t>
            </w:r>
            <w:r w:rsidR="002536CB" w:rsidRPr="004C63CF">
              <w:rPr>
                <w:rFonts w:ascii="Arial" w:hAnsi="Arial"/>
              </w:rPr>
              <w:t>focused</w:t>
            </w:r>
            <w:r w:rsidRPr="004C63CF">
              <w:rPr>
                <w:rFonts w:ascii="Arial" w:hAnsi="Arial"/>
              </w:rPr>
              <w:t xml:space="preserve"> on reframing the relationship with Aboriginal and Torres Strait Islander Queenslanders. The Queensland Government is committed to a new way of working, delivering change and outcomes through a genuine partnership approach. Tracks to Treaty incorporates both Path to Treaty and Local Thriving Communities.</w:t>
            </w:r>
          </w:p>
        </w:tc>
      </w:tr>
      <w:tr w:rsidR="001426EA" w:rsidRPr="00BE0F6C" w14:paraId="60DB8596" w14:textId="77777777" w:rsidTr="002C2968">
        <w:trPr>
          <w:trHeight w:hRule="exact" w:val="971"/>
        </w:trPr>
        <w:tc>
          <w:tcPr>
            <w:tcW w:w="2694" w:type="dxa"/>
          </w:tcPr>
          <w:p w14:paraId="64B84198" w14:textId="77777777" w:rsidR="001426EA" w:rsidRPr="004C63CF" w:rsidRDefault="001426EA" w:rsidP="00BE0F6C">
            <w:pPr>
              <w:rPr>
                <w:rFonts w:ascii="Arial" w:hAnsi="Arial"/>
              </w:rPr>
            </w:pPr>
            <w:r w:rsidRPr="004C63CF">
              <w:rPr>
                <w:rFonts w:ascii="Arial" w:hAnsi="Arial"/>
              </w:rPr>
              <w:t>Welfare Reform</w:t>
            </w:r>
          </w:p>
        </w:tc>
        <w:tc>
          <w:tcPr>
            <w:tcW w:w="7796" w:type="dxa"/>
          </w:tcPr>
          <w:p w14:paraId="0BB95AC2" w14:textId="77777777" w:rsidR="001426EA" w:rsidRPr="004C63CF" w:rsidRDefault="001426EA" w:rsidP="00BE0F6C">
            <w:pPr>
              <w:rPr>
                <w:rFonts w:ascii="Arial" w:hAnsi="Arial"/>
              </w:rPr>
            </w:pPr>
            <w:r w:rsidRPr="004C63CF">
              <w:rPr>
                <w:rFonts w:ascii="Arial" w:hAnsi="Arial"/>
              </w:rPr>
              <w:t>Welfare Reform is a partnership between the Queensland Government, the Australian Government, the Cape York Institute and the communities of Aurukun, Coen, Doomadgee, Hope Vale and Mossman Gorge.</w:t>
            </w:r>
          </w:p>
        </w:tc>
      </w:tr>
    </w:tbl>
    <w:p w14:paraId="5E497678" w14:textId="77777777" w:rsidR="00392640" w:rsidRDefault="00392640">
      <w:pPr>
        <w:spacing w:after="0" w:line="240" w:lineRule="auto"/>
        <w:rPr>
          <w:rFonts w:eastAsia="Calibri"/>
          <w:bCs/>
          <w:noProof/>
          <w:color w:val="262626" w:themeColor="text1" w:themeTint="D9"/>
          <w:kern w:val="32"/>
          <w:sz w:val="40"/>
          <w:szCs w:val="40"/>
          <w:lang w:eastAsia="en-US"/>
        </w:rPr>
      </w:pPr>
      <w:bookmarkStart w:id="10" w:name="_Toc43444834"/>
      <w:bookmarkStart w:id="11" w:name="_Toc78287411"/>
      <w:bookmarkStart w:id="12" w:name="_Toc78355818"/>
      <w:r>
        <w:rPr>
          <w:rFonts w:eastAsia="Calibri"/>
        </w:rPr>
        <w:br w:type="page"/>
      </w:r>
    </w:p>
    <w:p w14:paraId="12D0278E" w14:textId="6C10DF0A" w:rsidR="00926340" w:rsidRPr="00497E44" w:rsidRDefault="00926340" w:rsidP="00497E44">
      <w:pPr>
        <w:pStyle w:val="Heading2"/>
      </w:pPr>
      <w:bookmarkStart w:id="13" w:name="_Toc81984388"/>
      <w:r w:rsidRPr="00497E44">
        <w:lastRenderedPageBreak/>
        <w:t xml:space="preserve">Appendix </w:t>
      </w:r>
      <w:r w:rsidR="00451BD6" w:rsidRPr="00497E44">
        <w:t>2</w:t>
      </w:r>
      <w:r w:rsidRPr="00497E44">
        <w:t xml:space="preserve"> – Our legislation</w:t>
      </w:r>
      <w:bookmarkEnd w:id="10"/>
      <w:bookmarkEnd w:id="11"/>
      <w:bookmarkEnd w:id="12"/>
      <w:bookmarkEnd w:id="13"/>
      <w:r w:rsidR="009F56D7" w:rsidRPr="00497E44">
        <w:t xml:space="preserve"> </w:t>
      </w:r>
    </w:p>
    <w:p w14:paraId="568A3845" w14:textId="58B49382" w:rsidR="00926340" w:rsidRPr="00E4449B" w:rsidRDefault="00926340" w:rsidP="0046662F">
      <w:pPr>
        <w:rPr>
          <w:rFonts w:eastAsia="Calibri"/>
          <w:lang w:eastAsia="en-US"/>
        </w:rPr>
      </w:pPr>
      <w:bookmarkStart w:id="14" w:name="_Hlk82614490"/>
      <w:r w:rsidRPr="00E4449B">
        <w:rPr>
          <w:rFonts w:eastAsia="Calibri"/>
          <w:lang w:eastAsia="en-US"/>
        </w:rPr>
        <w:t>The</w:t>
      </w:r>
      <w:r w:rsidRPr="00E4449B">
        <w:rPr>
          <w:rFonts w:eastAsia="Calibri"/>
          <w:spacing w:val="-15"/>
          <w:lang w:eastAsia="en-US"/>
        </w:rPr>
        <w:t xml:space="preserve"> </w:t>
      </w:r>
      <w:r w:rsidRPr="00E4449B">
        <w:rPr>
          <w:rFonts w:eastAsia="Calibri"/>
          <w:lang w:eastAsia="en-US"/>
        </w:rPr>
        <w:t>f</w:t>
      </w:r>
      <w:r w:rsidRPr="00E4449B">
        <w:rPr>
          <w:rFonts w:eastAsia="Calibri"/>
          <w:spacing w:val="-1"/>
          <w:lang w:eastAsia="en-US"/>
        </w:rPr>
        <w:t>unctions</w:t>
      </w:r>
      <w:r w:rsidRPr="00E4449B">
        <w:rPr>
          <w:rFonts w:eastAsia="Calibri"/>
          <w:spacing w:val="-16"/>
          <w:lang w:eastAsia="en-US"/>
        </w:rPr>
        <w:t xml:space="preserve"> </w:t>
      </w:r>
      <w:r w:rsidRPr="00E4449B">
        <w:rPr>
          <w:rFonts w:eastAsia="Calibri"/>
          <w:lang w:eastAsia="en-US"/>
        </w:rPr>
        <w:t>and</w:t>
      </w:r>
      <w:r w:rsidRPr="00E4449B">
        <w:rPr>
          <w:rFonts w:eastAsia="Calibri"/>
          <w:spacing w:val="-16"/>
          <w:lang w:eastAsia="en-US"/>
        </w:rPr>
        <w:t xml:space="preserve"> </w:t>
      </w:r>
      <w:r w:rsidRPr="00E4449B">
        <w:rPr>
          <w:rFonts w:eastAsia="Calibri"/>
          <w:spacing w:val="-1"/>
          <w:lang w:eastAsia="en-US"/>
        </w:rPr>
        <w:t>po</w:t>
      </w:r>
      <w:r w:rsidRPr="00E4449B">
        <w:rPr>
          <w:rFonts w:eastAsia="Calibri"/>
          <w:lang w:eastAsia="en-US"/>
        </w:rPr>
        <w:t>wer</w:t>
      </w:r>
      <w:r w:rsidRPr="00E4449B">
        <w:rPr>
          <w:rFonts w:eastAsia="Calibri"/>
          <w:spacing w:val="-1"/>
          <w:lang w:eastAsia="en-US"/>
        </w:rPr>
        <w:t>s</w:t>
      </w:r>
      <w:r w:rsidRPr="00E4449B">
        <w:rPr>
          <w:rFonts w:eastAsia="Calibri"/>
          <w:spacing w:val="-16"/>
          <w:lang w:eastAsia="en-US"/>
        </w:rPr>
        <w:t xml:space="preserve"> </w:t>
      </w:r>
      <w:r w:rsidRPr="00E4449B">
        <w:rPr>
          <w:rFonts w:eastAsia="Calibri"/>
          <w:lang w:eastAsia="en-US"/>
        </w:rPr>
        <w:t>of</w:t>
      </w:r>
      <w:r w:rsidRPr="00E4449B">
        <w:rPr>
          <w:rFonts w:eastAsia="Calibri"/>
          <w:spacing w:val="-15"/>
          <w:lang w:eastAsia="en-US"/>
        </w:rPr>
        <w:t xml:space="preserve"> </w:t>
      </w:r>
      <w:r w:rsidRPr="00E4449B">
        <w:rPr>
          <w:rFonts w:eastAsia="Calibri"/>
          <w:lang w:eastAsia="en-US"/>
        </w:rPr>
        <w:t>the</w:t>
      </w:r>
      <w:r w:rsidRPr="00E4449B">
        <w:rPr>
          <w:rFonts w:eastAsia="Calibri"/>
          <w:spacing w:val="-15"/>
          <w:lang w:eastAsia="en-US"/>
        </w:rPr>
        <w:t xml:space="preserve"> </w:t>
      </w:r>
      <w:r w:rsidRPr="00E4449B">
        <w:rPr>
          <w:rFonts w:eastAsia="Calibri"/>
          <w:lang w:eastAsia="en-US"/>
        </w:rPr>
        <w:t>Department</w:t>
      </w:r>
      <w:r w:rsidRPr="00E4449B">
        <w:rPr>
          <w:rFonts w:eastAsia="Calibri"/>
          <w:spacing w:val="-16"/>
          <w:lang w:eastAsia="en-US"/>
        </w:rPr>
        <w:t xml:space="preserve"> </w:t>
      </w:r>
      <w:r w:rsidRPr="00E4449B">
        <w:rPr>
          <w:rFonts w:eastAsia="Calibri"/>
          <w:lang w:eastAsia="en-US"/>
        </w:rPr>
        <w:t xml:space="preserve">of </w:t>
      </w:r>
      <w:r w:rsidR="00DF7B87" w:rsidRPr="00E4449B">
        <w:rPr>
          <w:rFonts w:eastAsia="Calibri"/>
          <w:lang w:eastAsia="en-US"/>
        </w:rPr>
        <w:t xml:space="preserve">Seniors, Disability Services and </w:t>
      </w:r>
      <w:r w:rsidRPr="00E4449B">
        <w:rPr>
          <w:rFonts w:eastAsia="Calibri"/>
          <w:lang w:eastAsia="en-US"/>
        </w:rPr>
        <w:t>Aboriginal</w:t>
      </w:r>
      <w:r w:rsidRPr="00E4449B">
        <w:rPr>
          <w:rFonts w:eastAsia="Calibri"/>
          <w:spacing w:val="-16"/>
          <w:lang w:eastAsia="en-US"/>
        </w:rPr>
        <w:t xml:space="preserve"> </w:t>
      </w:r>
      <w:r w:rsidRPr="00E4449B">
        <w:rPr>
          <w:rFonts w:eastAsia="Calibri"/>
          <w:lang w:eastAsia="en-US"/>
        </w:rPr>
        <w:t>and</w:t>
      </w:r>
      <w:r w:rsidRPr="00E4449B">
        <w:rPr>
          <w:rFonts w:eastAsia="Calibri"/>
          <w:spacing w:val="-18"/>
          <w:lang w:eastAsia="en-US"/>
        </w:rPr>
        <w:t xml:space="preserve"> </w:t>
      </w:r>
      <w:r w:rsidRPr="00E4449B">
        <w:rPr>
          <w:rFonts w:eastAsia="Calibri"/>
          <w:spacing w:val="-3"/>
          <w:lang w:eastAsia="en-US"/>
        </w:rPr>
        <w:t>Torre</w:t>
      </w:r>
      <w:r w:rsidRPr="00E4449B">
        <w:rPr>
          <w:rFonts w:eastAsia="Calibri"/>
          <w:lang w:eastAsia="en-US"/>
        </w:rPr>
        <w:t>s</w:t>
      </w:r>
      <w:r w:rsidRPr="00E4449B">
        <w:rPr>
          <w:rFonts w:eastAsia="Calibri"/>
          <w:spacing w:val="-19"/>
          <w:lang w:eastAsia="en-US"/>
        </w:rPr>
        <w:t xml:space="preserve"> </w:t>
      </w:r>
      <w:r w:rsidRPr="00E4449B">
        <w:rPr>
          <w:rFonts w:eastAsia="Calibri"/>
          <w:spacing w:val="-1"/>
          <w:lang w:eastAsia="en-US"/>
        </w:rPr>
        <w:t>St</w:t>
      </w:r>
      <w:r w:rsidRPr="00E4449B">
        <w:rPr>
          <w:rFonts w:eastAsia="Calibri"/>
          <w:lang w:eastAsia="en-US"/>
        </w:rPr>
        <w:t>rait</w:t>
      </w:r>
      <w:r w:rsidRPr="00E4449B">
        <w:rPr>
          <w:rFonts w:eastAsia="Calibri"/>
          <w:spacing w:val="-16"/>
          <w:lang w:eastAsia="en-US"/>
        </w:rPr>
        <w:t xml:space="preserve"> </w:t>
      </w:r>
      <w:r w:rsidRPr="00E4449B">
        <w:rPr>
          <w:rFonts w:eastAsia="Calibri"/>
          <w:spacing w:val="-1"/>
          <w:lang w:eastAsia="en-US"/>
        </w:rPr>
        <w:t>Island</w:t>
      </w:r>
      <w:r w:rsidRPr="00E4449B">
        <w:rPr>
          <w:rFonts w:eastAsia="Calibri"/>
          <w:lang w:eastAsia="en-US"/>
        </w:rPr>
        <w:t>er</w:t>
      </w:r>
      <w:r w:rsidRPr="00E4449B">
        <w:rPr>
          <w:rFonts w:eastAsia="Calibri"/>
          <w:spacing w:val="-14"/>
          <w:lang w:eastAsia="en-US"/>
        </w:rPr>
        <w:t xml:space="preserve"> </w:t>
      </w:r>
      <w:r w:rsidRPr="00E4449B">
        <w:rPr>
          <w:rFonts w:eastAsia="Calibri"/>
          <w:spacing w:val="-1"/>
          <w:lang w:eastAsia="en-US"/>
        </w:rPr>
        <w:t>P</w:t>
      </w:r>
      <w:r w:rsidRPr="00E4449B">
        <w:rPr>
          <w:rFonts w:eastAsia="Calibri"/>
          <w:lang w:eastAsia="en-US"/>
        </w:rPr>
        <w:t>artner</w:t>
      </w:r>
      <w:r w:rsidRPr="00E4449B">
        <w:rPr>
          <w:rFonts w:eastAsia="Calibri"/>
          <w:spacing w:val="-1"/>
          <w:lang w:eastAsia="en-US"/>
        </w:rPr>
        <w:t>ships</w:t>
      </w:r>
      <w:r w:rsidRPr="00E4449B">
        <w:rPr>
          <w:rFonts w:eastAsia="Calibri"/>
          <w:spacing w:val="-16"/>
          <w:lang w:eastAsia="en-US"/>
        </w:rPr>
        <w:t xml:space="preserve"> </w:t>
      </w:r>
      <w:r w:rsidRPr="00E4449B">
        <w:rPr>
          <w:rFonts w:eastAsia="Calibri"/>
          <w:lang w:eastAsia="en-US"/>
        </w:rPr>
        <w:t>are</w:t>
      </w:r>
      <w:r w:rsidRPr="00E4449B">
        <w:rPr>
          <w:rFonts w:eastAsia="Calibri"/>
          <w:spacing w:val="-14"/>
          <w:lang w:eastAsia="en-US"/>
        </w:rPr>
        <w:t xml:space="preserve"> </w:t>
      </w:r>
      <w:r w:rsidRPr="004D657C">
        <w:rPr>
          <w:rFonts w:eastAsia="Calibri"/>
          <w:lang w:eastAsia="en-US"/>
        </w:rPr>
        <w:t>d</w:t>
      </w:r>
      <w:r w:rsidRPr="00E4449B">
        <w:rPr>
          <w:rFonts w:eastAsia="Calibri"/>
          <w:lang w:eastAsia="en-US"/>
        </w:rPr>
        <w:t>eri</w:t>
      </w:r>
      <w:r w:rsidRPr="004D657C">
        <w:rPr>
          <w:rFonts w:eastAsia="Calibri"/>
          <w:lang w:eastAsia="en-US"/>
        </w:rPr>
        <w:t xml:space="preserve">ved </w:t>
      </w:r>
      <w:r w:rsidRPr="00E4449B">
        <w:rPr>
          <w:rFonts w:eastAsia="Calibri"/>
          <w:lang w:eastAsia="en-US"/>
        </w:rPr>
        <w:t>from</w:t>
      </w:r>
      <w:r w:rsidR="004D657C" w:rsidRPr="004D657C">
        <w:rPr>
          <w:rFonts w:eastAsia="Calibri"/>
          <w:lang w:eastAsia="en-US"/>
        </w:rPr>
        <w:t xml:space="preserve"> </w:t>
      </w:r>
      <w:r w:rsidRPr="004D657C">
        <w:rPr>
          <w:rFonts w:eastAsia="Calibri"/>
          <w:lang w:eastAsia="en-US"/>
        </w:rPr>
        <w:t>adminis</w:t>
      </w:r>
      <w:r w:rsidRPr="00E4449B">
        <w:rPr>
          <w:rFonts w:eastAsia="Calibri"/>
          <w:lang w:eastAsia="en-US"/>
        </w:rPr>
        <w:t>terin</w:t>
      </w:r>
      <w:r w:rsidRPr="004D657C">
        <w:rPr>
          <w:rFonts w:eastAsia="Calibri"/>
          <w:lang w:eastAsia="en-US"/>
        </w:rPr>
        <w:t>g</w:t>
      </w:r>
      <w:r w:rsidRPr="00E4449B">
        <w:rPr>
          <w:rFonts w:eastAsia="Calibri"/>
          <w:spacing w:val="-17"/>
          <w:lang w:eastAsia="en-US"/>
        </w:rPr>
        <w:t xml:space="preserve"> </w:t>
      </w:r>
      <w:r w:rsidRPr="00E4449B">
        <w:rPr>
          <w:rFonts w:eastAsia="Calibri"/>
          <w:lang w:eastAsia="en-US"/>
        </w:rPr>
        <w:t>the</w:t>
      </w:r>
      <w:r w:rsidRPr="00E4449B">
        <w:rPr>
          <w:rFonts w:eastAsia="Calibri"/>
          <w:spacing w:val="-17"/>
          <w:lang w:eastAsia="en-US"/>
        </w:rPr>
        <w:t xml:space="preserve"> </w:t>
      </w:r>
      <w:r w:rsidRPr="00E4449B">
        <w:rPr>
          <w:rFonts w:eastAsia="Calibri"/>
          <w:lang w:eastAsia="en-US"/>
        </w:rPr>
        <w:t>f</w:t>
      </w:r>
      <w:r w:rsidRPr="00E4449B">
        <w:rPr>
          <w:rFonts w:eastAsia="Calibri"/>
          <w:spacing w:val="-1"/>
          <w:lang w:eastAsia="en-US"/>
        </w:rPr>
        <w:t>ollo</w:t>
      </w:r>
      <w:r w:rsidRPr="00E4449B">
        <w:rPr>
          <w:rFonts w:eastAsia="Calibri"/>
          <w:lang w:eastAsia="en-US"/>
        </w:rPr>
        <w:t>w</w:t>
      </w:r>
      <w:r w:rsidRPr="00E4449B">
        <w:rPr>
          <w:rFonts w:eastAsia="Calibri"/>
          <w:spacing w:val="-1"/>
          <w:lang w:eastAsia="en-US"/>
        </w:rPr>
        <w:t>ing</w:t>
      </w:r>
      <w:r w:rsidRPr="00E4449B">
        <w:rPr>
          <w:rFonts w:eastAsia="Calibri"/>
          <w:spacing w:val="-17"/>
          <w:lang w:eastAsia="en-US"/>
        </w:rPr>
        <w:t xml:space="preserve"> </w:t>
      </w:r>
      <w:r w:rsidRPr="00E4449B">
        <w:rPr>
          <w:rFonts w:eastAsia="Calibri"/>
          <w:lang w:eastAsia="en-US"/>
        </w:rPr>
        <w:t>Acts</w:t>
      </w:r>
      <w:r w:rsidRPr="00E4449B">
        <w:rPr>
          <w:rFonts w:eastAsia="Calibri"/>
          <w:spacing w:val="-18"/>
          <w:lang w:eastAsia="en-US"/>
        </w:rPr>
        <w:t xml:space="preserve"> </w:t>
      </w:r>
      <w:r w:rsidRPr="00E4449B">
        <w:rPr>
          <w:rFonts w:eastAsia="Calibri"/>
          <w:lang w:eastAsia="en-US"/>
        </w:rPr>
        <w:t>of</w:t>
      </w:r>
      <w:r w:rsidRPr="00E4449B">
        <w:rPr>
          <w:rFonts w:eastAsia="Calibri"/>
          <w:spacing w:val="-18"/>
          <w:lang w:eastAsia="en-US"/>
        </w:rPr>
        <w:t xml:space="preserve"> </w:t>
      </w:r>
      <w:r w:rsidRPr="00E4449B">
        <w:rPr>
          <w:rFonts w:eastAsia="Calibri"/>
          <w:spacing w:val="-1"/>
          <w:lang w:eastAsia="en-US"/>
        </w:rPr>
        <w:t>P</w:t>
      </w:r>
      <w:r w:rsidRPr="00E4449B">
        <w:rPr>
          <w:rFonts w:eastAsia="Calibri"/>
          <w:lang w:eastAsia="en-US"/>
        </w:rPr>
        <w:t>arliament,</w:t>
      </w:r>
      <w:r w:rsidRPr="00E4449B">
        <w:rPr>
          <w:rFonts w:eastAsia="Calibri"/>
          <w:spacing w:val="-16"/>
          <w:lang w:eastAsia="en-US"/>
        </w:rPr>
        <w:t xml:space="preserve"> </w:t>
      </w:r>
      <w:r w:rsidRPr="00E4449B">
        <w:rPr>
          <w:rFonts w:eastAsia="Calibri"/>
          <w:lang w:eastAsia="en-US"/>
        </w:rPr>
        <w:t>in</w:t>
      </w:r>
      <w:r w:rsidRPr="00E4449B">
        <w:rPr>
          <w:rFonts w:eastAsia="Calibri"/>
          <w:spacing w:val="-17"/>
          <w:lang w:eastAsia="en-US"/>
        </w:rPr>
        <w:t xml:space="preserve"> </w:t>
      </w:r>
      <w:r w:rsidRPr="00E4449B">
        <w:rPr>
          <w:rFonts w:eastAsia="Calibri"/>
          <w:lang w:eastAsia="en-US"/>
        </w:rPr>
        <w:t>acc</w:t>
      </w:r>
      <w:r w:rsidRPr="00E4449B">
        <w:rPr>
          <w:rFonts w:eastAsia="Calibri"/>
          <w:spacing w:val="-3"/>
          <w:lang w:eastAsia="en-US"/>
        </w:rPr>
        <w:t>ord</w:t>
      </w:r>
      <w:r w:rsidRPr="00E4449B">
        <w:rPr>
          <w:rFonts w:eastAsia="Calibri"/>
          <w:lang w:eastAsia="en-US"/>
        </w:rPr>
        <w:t>anc</w:t>
      </w:r>
      <w:r w:rsidRPr="00E4449B">
        <w:rPr>
          <w:rFonts w:eastAsia="Calibri"/>
          <w:spacing w:val="-3"/>
          <w:lang w:eastAsia="en-US"/>
        </w:rPr>
        <w:t>e</w:t>
      </w:r>
      <w:r w:rsidRPr="00E4449B">
        <w:rPr>
          <w:rFonts w:eastAsia="Calibri"/>
          <w:spacing w:val="-17"/>
          <w:lang w:eastAsia="en-US"/>
        </w:rPr>
        <w:t xml:space="preserve"> </w:t>
      </w:r>
      <w:r w:rsidRPr="00E4449B">
        <w:rPr>
          <w:rFonts w:eastAsia="Calibri"/>
          <w:lang w:eastAsia="en-US"/>
        </w:rPr>
        <w:t>with</w:t>
      </w:r>
      <w:r w:rsidR="00EB2387" w:rsidRPr="00E4449B">
        <w:rPr>
          <w:rFonts w:eastAsia="Calibri"/>
          <w:lang w:eastAsia="en-US"/>
        </w:rPr>
        <w:t xml:space="preserve"> </w:t>
      </w:r>
      <w:r w:rsidR="00EB2387" w:rsidRPr="00E4449B">
        <w:rPr>
          <w:rFonts w:eastAsia="Calibri"/>
          <w:i/>
          <w:lang w:eastAsia="en-US"/>
        </w:rPr>
        <w:t xml:space="preserve">Administrative </w:t>
      </w:r>
      <w:r w:rsidR="008E1BEB" w:rsidRPr="00E4449B">
        <w:rPr>
          <w:rFonts w:eastAsia="Calibri"/>
          <w:i/>
          <w:lang w:eastAsia="en-US"/>
        </w:rPr>
        <w:t>Arrangements Order (No. 2) 2020</w:t>
      </w:r>
      <w:r w:rsidRPr="00E4449B">
        <w:rPr>
          <w:rFonts w:eastAsia="Calibri"/>
          <w:lang w:eastAsia="en-US"/>
        </w:rPr>
        <w:t>.</w:t>
      </w:r>
    </w:p>
    <w:tbl>
      <w:tblPr>
        <w:tblStyle w:val="TableGrid1"/>
        <w:tblW w:w="10490" w:type="dxa"/>
        <w:tblInd w:w="-147" w:type="dxa"/>
        <w:tblLayout w:type="fixed"/>
        <w:tblCellMar>
          <w:top w:w="28" w:type="dxa"/>
          <w:left w:w="28" w:type="dxa"/>
          <w:bottom w:w="28" w:type="dxa"/>
          <w:right w:w="28" w:type="dxa"/>
        </w:tblCellMar>
        <w:tblLook w:val="01E0" w:firstRow="1" w:lastRow="1" w:firstColumn="1" w:lastColumn="1" w:noHBand="0" w:noVBand="0"/>
      </w:tblPr>
      <w:tblGrid>
        <w:gridCol w:w="3975"/>
        <w:gridCol w:w="6515"/>
      </w:tblGrid>
      <w:tr w:rsidR="001426EA" w:rsidRPr="0046662F" w14:paraId="711A406C" w14:textId="77777777" w:rsidTr="00B301A4">
        <w:trPr>
          <w:trHeight w:val="170"/>
          <w:tblHeader/>
        </w:trPr>
        <w:tc>
          <w:tcPr>
            <w:tcW w:w="3975" w:type="dxa"/>
            <w:shd w:val="clear" w:color="auto" w:fill="BCBEC0"/>
          </w:tcPr>
          <w:bookmarkEnd w:id="14"/>
          <w:p w14:paraId="292CC2DF" w14:textId="77777777" w:rsidR="001426EA" w:rsidRPr="004C63CF" w:rsidRDefault="001426EA" w:rsidP="0046662F">
            <w:pPr>
              <w:rPr>
                <w:rFonts w:ascii="Arial" w:hAnsi="Arial"/>
              </w:rPr>
            </w:pPr>
            <w:r w:rsidRPr="004C63CF">
              <w:rPr>
                <w:rFonts w:ascii="Arial" w:hAnsi="Arial"/>
              </w:rPr>
              <w:t>ACT</w:t>
            </w:r>
          </w:p>
        </w:tc>
        <w:tc>
          <w:tcPr>
            <w:tcW w:w="6515" w:type="dxa"/>
            <w:shd w:val="clear" w:color="auto" w:fill="BCBEC0"/>
          </w:tcPr>
          <w:p w14:paraId="353C9B30" w14:textId="77777777" w:rsidR="001426EA" w:rsidRPr="004C63CF" w:rsidRDefault="001426EA" w:rsidP="0046662F">
            <w:pPr>
              <w:rPr>
                <w:rFonts w:ascii="Arial" w:hAnsi="Arial"/>
              </w:rPr>
            </w:pPr>
            <w:r w:rsidRPr="004C63CF">
              <w:rPr>
                <w:rFonts w:ascii="Arial" w:hAnsi="Arial"/>
              </w:rPr>
              <w:t>STATUTORY OBJECTIVE</w:t>
            </w:r>
          </w:p>
        </w:tc>
      </w:tr>
      <w:tr w:rsidR="001426EA" w:rsidRPr="0046662F" w14:paraId="5402208E" w14:textId="77777777" w:rsidTr="00B301A4">
        <w:trPr>
          <w:trHeight w:val="20"/>
        </w:trPr>
        <w:tc>
          <w:tcPr>
            <w:tcW w:w="3975" w:type="dxa"/>
          </w:tcPr>
          <w:p w14:paraId="3940256B" w14:textId="77777777" w:rsidR="001426EA" w:rsidRPr="004C63CF" w:rsidRDefault="001426EA" w:rsidP="0046662F">
            <w:pPr>
              <w:rPr>
                <w:rFonts w:ascii="Arial" w:hAnsi="Arial"/>
                <w:i/>
                <w:iCs/>
              </w:rPr>
            </w:pPr>
            <w:r w:rsidRPr="004C63CF">
              <w:rPr>
                <w:rFonts w:ascii="Arial" w:hAnsi="Arial"/>
                <w:i/>
                <w:iCs/>
              </w:rPr>
              <w:t>Aboriginal and Torres Strait Islander Communities (Justice, Land and Other Matters) Act 1984</w:t>
            </w:r>
          </w:p>
          <w:p w14:paraId="250EBF40" w14:textId="257F1A86" w:rsidR="001426EA" w:rsidRPr="004C63CF" w:rsidRDefault="001426EA" w:rsidP="0046662F">
            <w:pPr>
              <w:rPr>
                <w:rFonts w:ascii="Arial" w:hAnsi="Arial"/>
              </w:rPr>
            </w:pPr>
            <w:r w:rsidRPr="004C63CF">
              <w:rPr>
                <w:rFonts w:ascii="Arial" w:hAnsi="Arial"/>
              </w:rPr>
              <w:t>(</w:t>
            </w:r>
            <w:r w:rsidR="003251A6" w:rsidRPr="004C63CF">
              <w:rPr>
                <w:rFonts w:ascii="Arial" w:hAnsi="Arial"/>
              </w:rPr>
              <w:t>except to the extent administered by the Deputy Premier and Minister for State Development, Infrastructure, Local Government and Planning; and the Attorney-General and Minister for Justice, Minister for Women and Minister for the Prevention of Domestic and Family Violence); (sections 4, 8, 64-67, 70 and 71 jointly administered with the Attorney-General and Minister for Justice, Minister for Women and Minister for the Prevention of Domestic and Family Violence)</w:t>
            </w:r>
          </w:p>
        </w:tc>
        <w:tc>
          <w:tcPr>
            <w:tcW w:w="6515" w:type="dxa"/>
          </w:tcPr>
          <w:p w14:paraId="434F4B22" w14:textId="77777777" w:rsidR="001426EA" w:rsidRPr="004C63CF" w:rsidRDefault="001426EA" w:rsidP="0046662F">
            <w:pPr>
              <w:rPr>
                <w:rFonts w:ascii="Arial" w:hAnsi="Arial"/>
              </w:rPr>
            </w:pPr>
            <w:r w:rsidRPr="004C63CF">
              <w:rPr>
                <w:rFonts w:ascii="Arial" w:hAnsi="Arial"/>
              </w:rPr>
              <w:t xml:space="preserve">This Act regulates </w:t>
            </w:r>
            <w:proofErr w:type="gramStart"/>
            <w:r w:rsidRPr="004C63CF">
              <w:rPr>
                <w:rFonts w:ascii="Arial" w:hAnsi="Arial"/>
              </w:rPr>
              <w:t>a number of</w:t>
            </w:r>
            <w:proofErr w:type="gramEnd"/>
            <w:r w:rsidRPr="004C63CF">
              <w:rPr>
                <w:rFonts w:ascii="Arial" w:hAnsi="Arial"/>
              </w:rPr>
              <w:t xml:space="preserve"> issues impacting on Aboriginal and Torres Strait Islander communities, including: the establishment of Community Justice Groups, the establishment of Community Police Officers, entry to trust areas, and alcohol possession and consumption in community areas.</w:t>
            </w:r>
          </w:p>
        </w:tc>
      </w:tr>
      <w:tr w:rsidR="001426EA" w:rsidRPr="0046662F" w14:paraId="2BDBEC9F" w14:textId="77777777" w:rsidTr="00B301A4">
        <w:trPr>
          <w:trHeight w:val="20"/>
        </w:trPr>
        <w:tc>
          <w:tcPr>
            <w:tcW w:w="3975" w:type="dxa"/>
          </w:tcPr>
          <w:p w14:paraId="70A7D32E" w14:textId="77777777" w:rsidR="001426EA" w:rsidRPr="004C63CF" w:rsidRDefault="001426EA" w:rsidP="0046662F">
            <w:pPr>
              <w:rPr>
                <w:rFonts w:ascii="Arial" w:hAnsi="Arial"/>
                <w:i/>
                <w:iCs/>
              </w:rPr>
            </w:pPr>
            <w:r w:rsidRPr="004C63CF">
              <w:rPr>
                <w:rFonts w:ascii="Arial" w:hAnsi="Arial"/>
                <w:i/>
                <w:iCs/>
              </w:rPr>
              <w:t>Aboriginal Cultural Heritage Act 2003</w:t>
            </w:r>
          </w:p>
        </w:tc>
        <w:tc>
          <w:tcPr>
            <w:tcW w:w="6515" w:type="dxa"/>
          </w:tcPr>
          <w:p w14:paraId="715D859E" w14:textId="77777777" w:rsidR="001426EA" w:rsidRPr="004C63CF" w:rsidRDefault="001426EA" w:rsidP="0046662F">
            <w:pPr>
              <w:rPr>
                <w:rFonts w:ascii="Arial" w:hAnsi="Arial"/>
              </w:rPr>
            </w:pPr>
            <w:r w:rsidRPr="004C63CF">
              <w:rPr>
                <w:rFonts w:ascii="Arial" w:hAnsi="Arial"/>
              </w:rPr>
              <w:t>The main purpose of this Act is to provide effective recognition, protection and conservation of Aboriginal cultural heritage.</w:t>
            </w:r>
          </w:p>
        </w:tc>
      </w:tr>
      <w:tr w:rsidR="001426EA" w:rsidRPr="0046662F" w14:paraId="780ABDD5" w14:textId="77777777" w:rsidTr="00B301A4">
        <w:trPr>
          <w:trHeight w:val="20"/>
        </w:trPr>
        <w:tc>
          <w:tcPr>
            <w:tcW w:w="3975" w:type="dxa"/>
          </w:tcPr>
          <w:p w14:paraId="2F114ABB" w14:textId="77777777" w:rsidR="001426EA" w:rsidRPr="004C63CF" w:rsidRDefault="001426EA" w:rsidP="0046662F">
            <w:pPr>
              <w:rPr>
                <w:rFonts w:ascii="Arial" w:hAnsi="Arial"/>
                <w:i/>
                <w:iCs/>
              </w:rPr>
            </w:pPr>
            <w:r w:rsidRPr="004C63CF">
              <w:rPr>
                <w:rFonts w:ascii="Arial" w:hAnsi="Arial"/>
                <w:i/>
                <w:iCs/>
              </w:rPr>
              <w:t>Torres Strait Islander Cultural Heritage Act 2003</w:t>
            </w:r>
          </w:p>
        </w:tc>
        <w:tc>
          <w:tcPr>
            <w:tcW w:w="6515" w:type="dxa"/>
          </w:tcPr>
          <w:p w14:paraId="456CBFE6" w14:textId="77777777" w:rsidR="001426EA" w:rsidRPr="004C63CF" w:rsidRDefault="001426EA" w:rsidP="0046662F">
            <w:pPr>
              <w:rPr>
                <w:rFonts w:ascii="Arial" w:hAnsi="Arial"/>
              </w:rPr>
            </w:pPr>
            <w:r w:rsidRPr="004C63CF">
              <w:rPr>
                <w:rFonts w:ascii="Arial" w:hAnsi="Arial"/>
              </w:rPr>
              <w:t>The main purpose of this Act is to provide effective recognition, protection and conservation of Torres Strait Islander cultural heritage.</w:t>
            </w:r>
          </w:p>
        </w:tc>
      </w:tr>
      <w:tr w:rsidR="001426EA" w:rsidRPr="0046662F" w14:paraId="60204992" w14:textId="77777777" w:rsidTr="00B301A4">
        <w:trPr>
          <w:trHeight w:val="20"/>
        </w:trPr>
        <w:tc>
          <w:tcPr>
            <w:tcW w:w="3975" w:type="dxa"/>
          </w:tcPr>
          <w:p w14:paraId="4F218811" w14:textId="77777777" w:rsidR="001426EA" w:rsidRPr="004C63CF" w:rsidRDefault="001426EA" w:rsidP="0046662F">
            <w:pPr>
              <w:rPr>
                <w:rFonts w:ascii="Arial" w:hAnsi="Arial"/>
                <w:i/>
                <w:iCs/>
              </w:rPr>
            </w:pPr>
            <w:r w:rsidRPr="004C63CF">
              <w:rPr>
                <w:rFonts w:ascii="Arial" w:hAnsi="Arial"/>
                <w:i/>
                <w:iCs/>
              </w:rPr>
              <w:t>Family Responsibilities Commission Act 2008</w:t>
            </w:r>
          </w:p>
        </w:tc>
        <w:tc>
          <w:tcPr>
            <w:tcW w:w="6515" w:type="dxa"/>
          </w:tcPr>
          <w:p w14:paraId="546DDF66" w14:textId="77777777" w:rsidR="001426EA" w:rsidRPr="004C63CF" w:rsidRDefault="001426EA" w:rsidP="0046662F">
            <w:pPr>
              <w:rPr>
                <w:rFonts w:ascii="Arial" w:hAnsi="Arial"/>
              </w:rPr>
            </w:pPr>
            <w:r w:rsidRPr="004C63CF">
              <w:rPr>
                <w:rFonts w:ascii="Arial" w:hAnsi="Arial"/>
              </w:rPr>
              <w:t>The objectives of this Act are to:</w:t>
            </w:r>
          </w:p>
          <w:p w14:paraId="16202320" w14:textId="77777777" w:rsidR="001426EA" w:rsidRPr="004C63CF" w:rsidRDefault="001426EA" w:rsidP="00837E9F">
            <w:pPr>
              <w:pStyle w:val="ListBullet"/>
              <w:rPr>
                <w:rFonts w:ascii="Arial" w:hAnsi="Arial"/>
              </w:rPr>
            </w:pPr>
            <w:r w:rsidRPr="004C63CF">
              <w:rPr>
                <w:rFonts w:ascii="Arial" w:hAnsi="Arial"/>
              </w:rPr>
              <w:t>support the restoration of socially responsible standards of behaviour and local authority in Welfare Reform community areas</w:t>
            </w:r>
            <w:r w:rsidR="001417C9" w:rsidRPr="004C63CF">
              <w:rPr>
                <w:rFonts w:ascii="Arial" w:hAnsi="Arial"/>
              </w:rPr>
              <w:t>, and</w:t>
            </w:r>
          </w:p>
          <w:p w14:paraId="69F038A5" w14:textId="77777777" w:rsidR="001426EA" w:rsidRPr="004C63CF" w:rsidRDefault="001426EA" w:rsidP="00837E9F">
            <w:pPr>
              <w:pStyle w:val="ListBullet"/>
              <w:rPr>
                <w:rFonts w:ascii="Arial" w:hAnsi="Arial"/>
              </w:rPr>
            </w:pPr>
            <w:r w:rsidRPr="004C63CF">
              <w:rPr>
                <w:rFonts w:ascii="Arial" w:hAnsi="Arial"/>
              </w:rPr>
              <w:t>help people in Welfare Reform community areas to resume primary responsibility for the wellbeing of their community and the individuals and families of the community.</w:t>
            </w:r>
          </w:p>
          <w:p w14:paraId="3FBA10B8" w14:textId="77777777" w:rsidR="001426EA" w:rsidRPr="004C63CF" w:rsidRDefault="001426EA" w:rsidP="00DC3100">
            <w:pPr>
              <w:pStyle w:val="ListBullet"/>
              <w:numPr>
                <w:ilvl w:val="0"/>
                <w:numId w:val="0"/>
              </w:numPr>
              <w:rPr>
                <w:rFonts w:ascii="Arial" w:hAnsi="Arial"/>
              </w:rPr>
            </w:pPr>
            <w:r w:rsidRPr="004C63CF">
              <w:rPr>
                <w:rFonts w:ascii="Arial" w:hAnsi="Arial"/>
              </w:rPr>
              <w:t>The objectives are achieved primarily through the operation of the Family Responsibilities Commission.</w:t>
            </w:r>
          </w:p>
        </w:tc>
      </w:tr>
      <w:tr w:rsidR="00C5313E" w:rsidRPr="0046662F" w14:paraId="2421457A" w14:textId="77777777" w:rsidTr="00B301A4">
        <w:trPr>
          <w:trHeight w:val="20"/>
        </w:trPr>
        <w:tc>
          <w:tcPr>
            <w:tcW w:w="3975" w:type="dxa"/>
          </w:tcPr>
          <w:p w14:paraId="035BEEC0" w14:textId="77777777" w:rsidR="00C5313E" w:rsidRPr="004C63CF" w:rsidRDefault="00C5313E" w:rsidP="0046662F">
            <w:pPr>
              <w:rPr>
                <w:rFonts w:ascii="Arial" w:hAnsi="Arial"/>
                <w:i/>
                <w:iCs/>
              </w:rPr>
            </w:pPr>
            <w:proofErr w:type="spellStart"/>
            <w:r w:rsidRPr="004C63CF">
              <w:rPr>
                <w:rFonts w:ascii="Arial" w:hAnsi="Arial"/>
                <w:i/>
                <w:iCs/>
              </w:rPr>
              <w:t>Meriba</w:t>
            </w:r>
            <w:proofErr w:type="spellEnd"/>
            <w:r w:rsidRPr="004C63CF">
              <w:rPr>
                <w:rFonts w:ascii="Arial" w:hAnsi="Arial"/>
                <w:i/>
                <w:iCs/>
              </w:rPr>
              <w:t xml:space="preserve"> </w:t>
            </w:r>
            <w:proofErr w:type="spellStart"/>
            <w:r w:rsidRPr="004C63CF">
              <w:rPr>
                <w:rFonts w:ascii="Arial" w:hAnsi="Arial"/>
                <w:i/>
                <w:iCs/>
              </w:rPr>
              <w:t>Omasker</w:t>
            </w:r>
            <w:proofErr w:type="spellEnd"/>
            <w:r w:rsidRPr="004C63CF">
              <w:rPr>
                <w:rFonts w:ascii="Arial" w:hAnsi="Arial"/>
                <w:i/>
                <w:iCs/>
              </w:rPr>
              <w:t xml:space="preserve"> </w:t>
            </w:r>
            <w:proofErr w:type="spellStart"/>
            <w:r w:rsidRPr="004C63CF">
              <w:rPr>
                <w:rFonts w:ascii="Arial" w:hAnsi="Arial"/>
                <w:i/>
                <w:iCs/>
              </w:rPr>
              <w:t>Kaziw</w:t>
            </w:r>
            <w:proofErr w:type="spellEnd"/>
            <w:r w:rsidRPr="004C63CF">
              <w:rPr>
                <w:rFonts w:ascii="Arial" w:hAnsi="Arial"/>
                <w:i/>
                <w:iCs/>
              </w:rPr>
              <w:t xml:space="preserve"> </w:t>
            </w:r>
            <w:proofErr w:type="spellStart"/>
            <w:r w:rsidRPr="004C63CF">
              <w:rPr>
                <w:rFonts w:ascii="Arial" w:hAnsi="Arial"/>
                <w:i/>
                <w:iCs/>
              </w:rPr>
              <w:t>Kazipa</w:t>
            </w:r>
            <w:proofErr w:type="spellEnd"/>
            <w:r w:rsidRPr="004C63CF">
              <w:rPr>
                <w:rFonts w:ascii="Arial" w:hAnsi="Arial"/>
                <w:i/>
                <w:iCs/>
              </w:rPr>
              <w:t xml:space="preserve"> (Torres Strait Islander Traditional Child Rearing Practice) Act 2020 </w:t>
            </w:r>
          </w:p>
          <w:p w14:paraId="1F4017EC" w14:textId="77777777" w:rsidR="00C5313E" w:rsidRPr="004C63CF" w:rsidRDefault="00C5313E" w:rsidP="0046662F">
            <w:pPr>
              <w:rPr>
                <w:rFonts w:ascii="Arial" w:hAnsi="Arial"/>
                <w:i/>
                <w:iCs/>
              </w:rPr>
            </w:pPr>
          </w:p>
        </w:tc>
        <w:tc>
          <w:tcPr>
            <w:tcW w:w="6515" w:type="dxa"/>
          </w:tcPr>
          <w:p w14:paraId="577837D6" w14:textId="77777777" w:rsidR="00DF7B87" w:rsidRPr="004C63CF" w:rsidRDefault="00DF7B87" w:rsidP="0046662F">
            <w:pPr>
              <w:rPr>
                <w:rFonts w:ascii="Arial" w:hAnsi="Arial"/>
              </w:rPr>
            </w:pPr>
            <w:r w:rsidRPr="004C63CF">
              <w:rPr>
                <w:rFonts w:ascii="Arial" w:hAnsi="Arial"/>
              </w:rPr>
              <w:t>The purpose of this Act is to—</w:t>
            </w:r>
          </w:p>
          <w:p w14:paraId="30CFBC3D" w14:textId="77777777" w:rsidR="00DC3100" w:rsidRPr="004C63CF" w:rsidRDefault="00DF7B87" w:rsidP="007B1B10">
            <w:pPr>
              <w:pStyle w:val="ListParagraph"/>
              <w:numPr>
                <w:ilvl w:val="0"/>
                <w:numId w:val="25"/>
              </w:numPr>
              <w:rPr>
                <w:rFonts w:ascii="Arial" w:hAnsi="Arial"/>
              </w:rPr>
            </w:pPr>
            <w:r w:rsidRPr="004C63CF">
              <w:rPr>
                <w:rFonts w:ascii="Arial" w:hAnsi="Arial"/>
              </w:rPr>
              <w:t xml:space="preserve">recognise </w:t>
            </w:r>
            <w:proofErr w:type="spellStart"/>
            <w:r w:rsidRPr="004C63CF">
              <w:rPr>
                <w:rFonts w:ascii="Arial" w:hAnsi="Arial"/>
              </w:rPr>
              <w:t>Ailan</w:t>
            </w:r>
            <w:proofErr w:type="spellEnd"/>
            <w:r w:rsidRPr="004C63CF">
              <w:rPr>
                <w:rFonts w:ascii="Arial" w:hAnsi="Arial"/>
              </w:rPr>
              <w:t xml:space="preserve"> </w:t>
            </w:r>
            <w:proofErr w:type="spellStart"/>
            <w:r w:rsidRPr="004C63CF">
              <w:rPr>
                <w:rFonts w:ascii="Arial" w:hAnsi="Arial"/>
              </w:rPr>
              <w:t>Kastom</w:t>
            </w:r>
            <w:proofErr w:type="spellEnd"/>
            <w:r w:rsidRPr="004C63CF">
              <w:rPr>
                <w:rFonts w:ascii="Arial" w:hAnsi="Arial"/>
              </w:rPr>
              <w:t xml:space="preserve"> child rearing practice; and</w:t>
            </w:r>
          </w:p>
          <w:p w14:paraId="78E27EA4" w14:textId="4D9E9091" w:rsidR="00C5313E" w:rsidRPr="004C63CF" w:rsidRDefault="00DF7B87" w:rsidP="00DF0A4A">
            <w:pPr>
              <w:pStyle w:val="ListParagraph"/>
              <w:numPr>
                <w:ilvl w:val="0"/>
                <w:numId w:val="25"/>
              </w:numPr>
              <w:rPr>
                <w:rFonts w:ascii="Arial" w:hAnsi="Arial"/>
              </w:rPr>
            </w:pPr>
            <w:r w:rsidRPr="004C63CF">
              <w:rPr>
                <w:rFonts w:ascii="Arial" w:hAnsi="Arial"/>
              </w:rPr>
              <w:t>establish a process for making applications for, and decisions about, the legal recognition of the practice.</w:t>
            </w:r>
          </w:p>
        </w:tc>
      </w:tr>
      <w:tr w:rsidR="00C5313E" w:rsidRPr="0046662F" w14:paraId="7EE7BF00" w14:textId="77777777" w:rsidTr="00B301A4">
        <w:trPr>
          <w:trHeight w:val="20"/>
        </w:trPr>
        <w:tc>
          <w:tcPr>
            <w:tcW w:w="3975" w:type="dxa"/>
          </w:tcPr>
          <w:p w14:paraId="1D5701B9" w14:textId="300B4926" w:rsidR="00C5313E" w:rsidRPr="004C63CF" w:rsidRDefault="00C5313E" w:rsidP="0046662F">
            <w:pPr>
              <w:rPr>
                <w:rFonts w:ascii="Arial" w:hAnsi="Arial"/>
                <w:i/>
                <w:iCs/>
              </w:rPr>
            </w:pPr>
            <w:r w:rsidRPr="004C63CF">
              <w:rPr>
                <w:rFonts w:ascii="Arial" w:hAnsi="Arial"/>
                <w:i/>
                <w:iCs/>
              </w:rPr>
              <w:t>Carers (Recognition) Act 2008</w:t>
            </w:r>
          </w:p>
          <w:p w14:paraId="5CCCF8AF" w14:textId="77777777" w:rsidR="00C5313E" w:rsidRPr="004C63CF" w:rsidRDefault="00C5313E" w:rsidP="0046662F">
            <w:pPr>
              <w:rPr>
                <w:rFonts w:ascii="Arial" w:hAnsi="Arial"/>
                <w:i/>
                <w:iCs/>
              </w:rPr>
            </w:pPr>
          </w:p>
        </w:tc>
        <w:tc>
          <w:tcPr>
            <w:tcW w:w="6515" w:type="dxa"/>
          </w:tcPr>
          <w:p w14:paraId="1CA11BB6" w14:textId="77777777" w:rsidR="00DF7B87" w:rsidRPr="004C63CF" w:rsidRDefault="00DF7B87" w:rsidP="0046662F">
            <w:pPr>
              <w:rPr>
                <w:rFonts w:ascii="Arial" w:hAnsi="Arial"/>
              </w:rPr>
            </w:pPr>
            <w:r w:rsidRPr="004C63CF">
              <w:rPr>
                <w:rFonts w:ascii="Arial" w:hAnsi="Arial"/>
              </w:rPr>
              <w:t>The objects of this Act are—</w:t>
            </w:r>
          </w:p>
          <w:p w14:paraId="6BB0CE83" w14:textId="4F40CFAF" w:rsidR="00DF7B87" w:rsidRPr="004C63CF" w:rsidRDefault="00DF7B87" w:rsidP="007B1B10">
            <w:pPr>
              <w:pStyle w:val="ListParagraph"/>
              <w:numPr>
                <w:ilvl w:val="0"/>
                <w:numId w:val="26"/>
              </w:numPr>
              <w:rPr>
                <w:rFonts w:ascii="Arial" w:hAnsi="Arial"/>
              </w:rPr>
            </w:pPr>
            <w:r w:rsidRPr="004C63CF">
              <w:rPr>
                <w:rFonts w:ascii="Arial" w:hAnsi="Arial"/>
              </w:rPr>
              <w:t>to recognise the valuable contribution by carers to the people they care for; and</w:t>
            </w:r>
          </w:p>
          <w:p w14:paraId="78EF56AC" w14:textId="4696E9A2" w:rsidR="00DF7B87" w:rsidRPr="004C63CF" w:rsidRDefault="00DF7B87" w:rsidP="007B1B10">
            <w:pPr>
              <w:pStyle w:val="ListParagraph"/>
              <w:numPr>
                <w:ilvl w:val="0"/>
                <w:numId w:val="26"/>
              </w:numPr>
              <w:rPr>
                <w:rFonts w:ascii="Arial" w:hAnsi="Arial"/>
              </w:rPr>
            </w:pPr>
            <w:r w:rsidRPr="004C63CF">
              <w:rPr>
                <w:rFonts w:ascii="Arial" w:hAnsi="Arial"/>
              </w:rPr>
              <w:t>to recognise the benefit, including the social and economic benefit, provided by carers to the community; and</w:t>
            </w:r>
          </w:p>
          <w:p w14:paraId="10DCF1A8" w14:textId="7BD3D873" w:rsidR="00DF7B87" w:rsidRPr="004C63CF" w:rsidRDefault="00DF7B87" w:rsidP="007B1B10">
            <w:pPr>
              <w:pStyle w:val="ListParagraph"/>
              <w:numPr>
                <w:ilvl w:val="0"/>
                <w:numId w:val="26"/>
              </w:numPr>
              <w:rPr>
                <w:rFonts w:ascii="Arial" w:hAnsi="Arial"/>
              </w:rPr>
            </w:pPr>
            <w:r w:rsidRPr="004C63CF">
              <w:rPr>
                <w:rFonts w:ascii="Arial" w:hAnsi="Arial"/>
              </w:rPr>
              <w:lastRenderedPageBreak/>
              <w:t>to provide for the interests of carers to be considered in decisions about the provision of services that impact on the role of carers; and</w:t>
            </w:r>
          </w:p>
          <w:p w14:paraId="3E6D371A" w14:textId="7B976D18" w:rsidR="00C5313E" w:rsidRPr="004C63CF" w:rsidRDefault="00DF7B87" w:rsidP="007B1B10">
            <w:pPr>
              <w:pStyle w:val="ListParagraph"/>
              <w:numPr>
                <w:ilvl w:val="0"/>
                <w:numId w:val="26"/>
              </w:numPr>
              <w:rPr>
                <w:rFonts w:ascii="Arial" w:hAnsi="Arial"/>
              </w:rPr>
            </w:pPr>
            <w:r w:rsidRPr="004C63CF">
              <w:rPr>
                <w:rFonts w:ascii="Arial" w:hAnsi="Arial"/>
              </w:rPr>
              <w:t>to establish the Carers Advisory Council.</w:t>
            </w:r>
          </w:p>
        </w:tc>
      </w:tr>
      <w:tr w:rsidR="003B566B" w:rsidRPr="0046662F" w14:paraId="197ECC1D" w14:textId="77777777" w:rsidTr="00B301A4">
        <w:trPr>
          <w:trHeight w:val="20"/>
        </w:trPr>
        <w:tc>
          <w:tcPr>
            <w:tcW w:w="3975" w:type="dxa"/>
          </w:tcPr>
          <w:p w14:paraId="12608328" w14:textId="77777777" w:rsidR="003B566B" w:rsidRPr="004C63CF" w:rsidRDefault="003B566B" w:rsidP="0046662F">
            <w:pPr>
              <w:rPr>
                <w:rFonts w:ascii="Arial" w:hAnsi="Arial"/>
                <w:i/>
                <w:iCs/>
              </w:rPr>
            </w:pPr>
            <w:r w:rsidRPr="004C63CF">
              <w:rPr>
                <w:rFonts w:ascii="Arial" w:hAnsi="Arial"/>
                <w:i/>
                <w:iCs/>
              </w:rPr>
              <w:lastRenderedPageBreak/>
              <w:t>Disability Services Act 2006</w:t>
            </w:r>
          </w:p>
          <w:p w14:paraId="0214CA5D" w14:textId="77777777" w:rsidR="003B566B" w:rsidRPr="004C63CF" w:rsidRDefault="003B566B" w:rsidP="0046662F">
            <w:pPr>
              <w:rPr>
                <w:rFonts w:ascii="Arial" w:hAnsi="Arial"/>
                <w:i/>
                <w:iCs/>
              </w:rPr>
            </w:pPr>
          </w:p>
        </w:tc>
        <w:tc>
          <w:tcPr>
            <w:tcW w:w="6515" w:type="dxa"/>
          </w:tcPr>
          <w:p w14:paraId="453C36A3" w14:textId="77777777" w:rsidR="003B566B" w:rsidRPr="004C63CF" w:rsidRDefault="003B566B" w:rsidP="0046662F">
            <w:pPr>
              <w:rPr>
                <w:rFonts w:ascii="Arial" w:hAnsi="Arial"/>
              </w:rPr>
            </w:pPr>
            <w:r w:rsidRPr="004C63CF">
              <w:rPr>
                <w:rFonts w:ascii="Arial" w:hAnsi="Arial"/>
              </w:rPr>
              <w:t>The objects of this Act are—</w:t>
            </w:r>
          </w:p>
          <w:p w14:paraId="3208D59F" w14:textId="6308161D" w:rsidR="003B566B" w:rsidRPr="004C63CF" w:rsidRDefault="003B566B" w:rsidP="007B1B10">
            <w:pPr>
              <w:pStyle w:val="ListParagraph"/>
              <w:numPr>
                <w:ilvl w:val="0"/>
                <w:numId w:val="27"/>
              </w:numPr>
              <w:rPr>
                <w:rFonts w:ascii="Arial" w:hAnsi="Arial"/>
              </w:rPr>
            </w:pPr>
            <w:r w:rsidRPr="004C63CF">
              <w:rPr>
                <w:rFonts w:ascii="Arial" w:hAnsi="Arial"/>
              </w:rPr>
              <w:t>to acknowledge the rights of people with disability including by promoting their inclusion in the life of the community generally; and</w:t>
            </w:r>
          </w:p>
          <w:p w14:paraId="17F7F667" w14:textId="0F5A946C" w:rsidR="003B566B" w:rsidRPr="004C63CF" w:rsidRDefault="003B566B" w:rsidP="007B1B10">
            <w:pPr>
              <w:pStyle w:val="ListParagraph"/>
              <w:numPr>
                <w:ilvl w:val="0"/>
                <w:numId w:val="27"/>
              </w:numPr>
              <w:rPr>
                <w:rFonts w:ascii="Arial" w:hAnsi="Arial"/>
              </w:rPr>
            </w:pPr>
            <w:r w:rsidRPr="004C63CF">
              <w:rPr>
                <w:rFonts w:ascii="Arial" w:hAnsi="Arial"/>
              </w:rPr>
              <w:t>to ensure that disability services funded by the department are safe, accountable and respond to the needs of people with disability; and</w:t>
            </w:r>
          </w:p>
          <w:p w14:paraId="1EB48564" w14:textId="0DAC674B" w:rsidR="003B566B" w:rsidRPr="004C63CF" w:rsidRDefault="003B566B" w:rsidP="007B1B10">
            <w:pPr>
              <w:pStyle w:val="ListParagraph"/>
              <w:numPr>
                <w:ilvl w:val="0"/>
                <w:numId w:val="27"/>
              </w:numPr>
              <w:rPr>
                <w:rFonts w:ascii="Arial" w:hAnsi="Arial"/>
              </w:rPr>
            </w:pPr>
            <w:r w:rsidRPr="004C63CF">
              <w:rPr>
                <w:rFonts w:ascii="Arial" w:hAnsi="Arial"/>
              </w:rPr>
              <w:t>to support the operation of the national disability insurance scheme in Queensland and ensure the quality and safety of NDIS supports or services in the context of the national regulatory framework; and</w:t>
            </w:r>
          </w:p>
          <w:p w14:paraId="0679D34B" w14:textId="77777777" w:rsidR="00DC3100" w:rsidRPr="004C63CF" w:rsidRDefault="003B566B" w:rsidP="007B1B10">
            <w:pPr>
              <w:pStyle w:val="ListParagraph"/>
              <w:numPr>
                <w:ilvl w:val="0"/>
                <w:numId w:val="27"/>
              </w:numPr>
              <w:rPr>
                <w:rFonts w:ascii="Arial" w:hAnsi="Arial"/>
              </w:rPr>
            </w:pPr>
            <w:r w:rsidRPr="004C63CF">
              <w:rPr>
                <w:rFonts w:ascii="Arial" w:hAnsi="Arial"/>
              </w:rPr>
              <w:t>to safeguard the rights of adults with an intellectual or cognitive disability including by regulating the use of restrictive practices by relevant service providers in relation to those adults—</w:t>
            </w:r>
          </w:p>
          <w:p w14:paraId="1FCCC088" w14:textId="77777777" w:rsidR="00DC3100" w:rsidRPr="004C63CF" w:rsidRDefault="003B566B" w:rsidP="007B1B10">
            <w:pPr>
              <w:pStyle w:val="ListParagraph"/>
              <w:numPr>
                <w:ilvl w:val="0"/>
                <w:numId w:val="28"/>
              </w:numPr>
              <w:rPr>
                <w:rFonts w:ascii="Arial" w:hAnsi="Arial"/>
              </w:rPr>
            </w:pPr>
            <w:r w:rsidRPr="004C63CF">
              <w:rPr>
                <w:rFonts w:ascii="Arial" w:hAnsi="Arial"/>
              </w:rPr>
              <w:t>only where it is necessary to protect a person from harm; and</w:t>
            </w:r>
          </w:p>
          <w:p w14:paraId="72A405C8" w14:textId="0D02F34E" w:rsidR="003B566B" w:rsidRPr="004C63CF" w:rsidRDefault="003B566B" w:rsidP="007B1B10">
            <w:pPr>
              <w:pStyle w:val="ListParagraph"/>
              <w:numPr>
                <w:ilvl w:val="0"/>
                <w:numId w:val="28"/>
              </w:numPr>
              <w:rPr>
                <w:rFonts w:ascii="Arial" w:hAnsi="Arial"/>
              </w:rPr>
            </w:pPr>
            <w:r w:rsidRPr="004C63CF">
              <w:rPr>
                <w:rFonts w:ascii="Arial" w:hAnsi="Arial"/>
              </w:rPr>
              <w:t>with the aim of reducing or eliminating the need for use of the restrictive practices.</w:t>
            </w:r>
          </w:p>
        </w:tc>
      </w:tr>
      <w:tr w:rsidR="003B566B" w:rsidRPr="0046662F" w14:paraId="691B6593" w14:textId="77777777" w:rsidTr="00B301A4">
        <w:trPr>
          <w:trHeight w:val="20"/>
        </w:trPr>
        <w:tc>
          <w:tcPr>
            <w:tcW w:w="3975" w:type="dxa"/>
          </w:tcPr>
          <w:p w14:paraId="409CB64A" w14:textId="77777777" w:rsidR="003B566B" w:rsidRPr="004C63CF" w:rsidRDefault="003B566B" w:rsidP="0046662F">
            <w:pPr>
              <w:rPr>
                <w:rFonts w:ascii="Arial" w:hAnsi="Arial"/>
                <w:i/>
                <w:iCs/>
              </w:rPr>
            </w:pPr>
            <w:r w:rsidRPr="004C63CF">
              <w:rPr>
                <w:rFonts w:ascii="Arial" w:hAnsi="Arial"/>
                <w:i/>
                <w:iCs/>
              </w:rPr>
              <w:t>Forensic Disability Act 2011</w:t>
            </w:r>
          </w:p>
          <w:p w14:paraId="0F8B0F01" w14:textId="77777777" w:rsidR="003B566B" w:rsidRPr="004C63CF" w:rsidRDefault="003B566B" w:rsidP="0046662F">
            <w:pPr>
              <w:rPr>
                <w:rFonts w:ascii="Arial" w:hAnsi="Arial"/>
                <w:i/>
                <w:iCs/>
              </w:rPr>
            </w:pPr>
          </w:p>
        </w:tc>
        <w:tc>
          <w:tcPr>
            <w:tcW w:w="6515" w:type="dxa"/>
          </w:tcPr>
          <w:p w14:paraId="41477F04" w14:textId="77777777" w:rsidR="003B566B" w:rsidRPr="004C63CF" w:rsidRDefault="003B566B" w:rsidP="00DC3100">
            <w:pPr>
              <w:rPr>
                <w:rFonts w:ascii="Arial" w:hAnsi="Arial"/>
              </w:rPr>
            </w:pPr>
            <w:r w:rsidRPr="004C63CF">
              <w:rPr>
                <w:rFonts w:ascii="Arial" w:hAnsi="Arial"/>
              </w:rPr>
              <w:t>The purpose of this Act is to provide for the involuntary detention, and the care and support and protection, of forensic disability clients, while at the same time—</w:t>
            </w:r>
          </w:p>
          <w:p w14:paraId="6EE0A161" w14:textId="7EC45AB9" w:rsidR="003B566B" w:rsidRPr="004C63CF" w:rsidRDefault="003B566B" w:rsidP="007B1B10">
            <w:pPr>
              <w:pStyle w:val="ListParagraph"/>
              <w:numPr>
                <w:ilvl w:val="0"/>
                <w:numId w:val="29"/>
              </w:numPr>
              <w:rPr>
                <w:rFonts w:ascii="Arial" w:hAnsi="Arial"/>
              </w:rPr>
            </w:pPr>
            <w:r w:rsidRPr="004C63CF">
              <w:rPr>
                <w:rFonts w:ascii="Arial" w:hAnsi="Arial"/>
              </w:rPr>
              <w:t>safeguarding their rights and freedoms; and</w:t>
            </w:r>
          </w:p>
          <w:p w14:paraId="3A9BF9C7" w14:textId="72449BF2" w:rsidR="003B566B" w:rsidRPr="004C63CF" w:rsidRDefault="003B566B" w:rsidP="007B1B10">
            <w:pPr>
              <w:pStyle w:val="ListParagraph"/>
              <w:numPr>
                <w:ilvl w:val="0"/>
                <w:numId w:val="29"/>
              </w:numPr>
              <w:rPr>
                <w:rFonts w:ascii="Arial" w:hAnsi="Arial"/>
              </w:rPr>
            </w:pPr>
            <w:r w:rsidRPr="004C63CF">
              <w:rPr>
                <w:rFonts w:ascii="Arial" w:hAnsi="Arial"/>
              </w:rPr>
              <w:t>balancing their rights and freedoms with the rights and freedoms of other people; and</w:t>
            </w:r>
          </w:p>
          <w:p w14:paraId="0CCA24BB" w14:textId="36C74D9B" w:rsidR="003B566B" w:rsidRPr="004C63CF" w:rsidRDefault="003B566B" w:rsidP="007B1B10">
            <w:pPr>
              <w:pStyle w:val="ListParagraph"/>
              <w:numPr>
                <w:ilvl w:val="0"/>
                <w:numId w:val="29"/>
              </w:numPr>
              <w:rPr>
                <w:rFonts w:ascii="Arial" w:hAnsi="Arial"/>
              </w:rPr>
            </w:pPr>
            <w:r w:rsidRPr="004C63CF">
              <w:rPr>
                <w:rFonts w:ascii="Arial" w:hAnsi="Arial"/>
              </w:rPr>
              <w:t>promoting their individual development and enhancing their opportunities for quality of life; and</w:t>
            </w:r>
          </w:p>
          <w:p w14:paraId="64CB5F7F" w14:textId="066E7AC0" w:rsidR="003B566B" w:rsidRPr="004C63CF" w:rsidRDefault="003B566B" w:rsidP="007B1B10">
            <w:pPr>
              <w:pStyle w:val="ListParagraph"/>
              <w:numPr>
                <w:ilvl w:val="0"/>
                <w:numId w:val="29"/>
              </w:numPr>
              <w:rPr>
                <w:rFonts w:ascii="Arial" w:hAnsi="Arial"/>
              </w:rPr>
            </w:pPr>
            <w:r w:rsidRPr="004C63CF">
              <w:rPr>
                <w:rFonts w:ascii="Arial" w:hAnsi="Arial"/>
              </w:rPr>
              <w:t>maximising their opportunities for reintegration into the community.</w:t>
            </w:r>
          </w:p>
        </w:tc>
      </w:tr>
      <w:tr w:rsidR="003B566B" w:rsidRPr="0046662F" w14:paraId="4CD6034C" w14:textId="77777777" w:rsidTr="00B301A4">
        <w:trPr>
          <w:trHeight w:val="20"/>
        </w:trPr>
        <w:tc>
          <w:tcPr>
            <w:tcW w:w="3975" w:type="dxa"/>
          </w:tcPr>
          <w:p w14:paraId="28FE1FB4" w14:textId="5DC3CB6C" w:rsidR="003B566B" w:rsidRPr="004C63CF" w:rsidRDefault="003B566B" w:rsidP="0046662F">
            <w:pPr>
              <w:rPr>
                <w:rFonts w:ascii="Arial" w:hAnsi="Arial"/>
                <w:i/>
                <w:iCs/>
              </w:rPr>
            </w:pPr>
            <w:r w:rsidRPr="004C63CF">
              <w:rPr>
                <w:rFonts w:ascii="Arial" w:hAnsi="Arial"/>
                <w:i/>
                <w:iCs/>
              </w:rPr>
              <w:t>Guide, Hearing and Assistance Dogs Act 2009</w:t>
            </w:r>
          </w:p>
        </w:tc>
        <w:tc>
          <w:tcPr>
            <w:tcW w:w="6515" w:type="dxa"/>
          </w:tcPr>
          <w:p w14:paraId="0DA7A3E3" w14:textId="75C20159" w:rsidR="003B566B" w:rsidRPr="004C63CF" w:rsidRDefault="003B566B" w:rsidP="0046662F">
            <w:pPr>
              <w:rPr>
                <w:rFonts w:ascii="Arial" w:hAnsi="Arial"/>
              </w:rPr>
            </w:pPr>
            <w:r w:rsidRPr="004C63CF">
              <w:rPr>
                <w:rFonts w:ascii="Arial" w:hAnsi="Arial"/>
              </w:rPr>
              <w:t>The objects of this Act are—</w:t>
            </w:r>
          </w:p>
          <w:p w14:paraId="7346EE30" w14:textId="71573ACE" w:rsidR="003B566B" w:rsidRPr="004C63CF" w:rsidRDefault="003B566B" w:rsidP="007B1B10">
            <w:pPr>
              <w:pStyle w:val="ListParagraph"/>
              <w:numPr>
                <w:ilvl w:val="0"/>
                <w:numId w:val="30"/>
              </w:numPr>
              <w:rPr>
                <w:rFonts w:ascii="Arial" w:hAnsi="Arial"/>
              </w:rPr>
            </w:pPr>
            <w:r w:rsidRPr="004C63CF">
              <w:rPr>
                <w:rFonts w:ascii="Arial" w:hAnsi="Arial"/>
              </w:rPr>
              <w:t>to assist people with a disability who rely on guide, hearing or assistance dogs to have independent access to the community; and</w:t>
            </w:r>
          </w:p>
          <w:p w14:paraId="381305E5" w14:textId="7775EE1C" w:rsidR="003B566B" w:rsidRPr="004C63CF" w:rsidRDefault="003B566B" w:rsidP="007B1B10">
            <w:pPr>
              <w:pStyle w:val="ListParagraph"/>
              <w:numPr>
                <w:ilvl w:val="0"/>
                <w:numId w:val="30"/>
              </w:numPr>
              <w:rPr>
                <w:rFonts w:ascii="Arial" w:hAnsi="Arial"/>
              </w:rPr>
            </w:pPr>
            <w:r w:rsidRPr="004C63CF">
              <w:rPr>
                <w:rFonts w:ascii="Arial" w:hAnsi="Arial"/>
              </w:rPr>
              <w:t>to ensure the quality and accountability of guide, hearing and assistance dog training services.</w:t>
            </w:r>
          </w:p>
        </w:tc>
      </w:tr>
    </w:tbl>
    <w:p w14:paraId="6CE24592" w14:textId="088A7F45" w:rsidR="00926340" w:rsidRPr="00497E44" w:rsidRDefault="00926340" w:rsidP="00497E44">
      <w:pPr>
        <w:pStyle w:val="Heading2"/>
      </w:pPr>
      <w:bookmarkStart w:id="15" w:name="_Toc43444835"/>
      <w:bookmarkStart w:id="16" w:name="_Toc78287412"/>
      <w:bookmarkStart w:id="17" w:name="_Toc78355819"/>
      <w:bookmarkStart w:id="18" w:name="_Toc81984389"/>
      <w:r w:rsidRPr="00497E44">
        <w:rPr>
          <w:rStyle w:val="Heading2Char"/>
          <w:bCs/>
          <w:iCs/>
        </w:rPr>
        <w:t>A</w:t>
      </w:r>
      <w:r w:rsidRPr="00497E44">
        <w:t xml:space="preserve">ppendix </w:t>
      </w:r>
      <w:r w:rsidR="00451BD6" w:rsidRPr="00497E44">
        <w:t>3</w:t>
      </w:r>
      <w:r w:rsidRPr="00497E44">
        <w:t xml:space="preserve"> – </w:t>
      </w:r>
      <w:r w:rsidR="004836C9" w:rsidRPr="00497E44">
        <w:t>Department</w:t>
      </w:r>
      <w:r w:rsidRPr="00497E44">
        <w:t xml:space="preserve"> boards and committees</w:t>
      </w:r>
      <w:bookmarkEnd w:id="15"/>
      <w:bookmarkEnd w:id="16"/>
      <w:bookmarkEnd w:id="17"/>
      <w:bookmarkEnd w:id="18"/>
      <w:r w:rsidR="00486D32" w:rsidRPr="00497E44">
        <w:t xml:space="preserve"> </w:t>
      </w: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CB6DE3" w:rsidRPr="00837E9F" w14:paraId="6293DF6E" w14:textId="77777777" w:rsidTr="00392640">
        <w:trPr>
          <w:trHeight w:val="20"/>
        </w:trPr>
        <w:tc>
          <w:tcPr>
            <w:tcW w:w="9928" w:type="dxa"/>
            <w:gridSpan w:val="2"/>
            <w:shd w:val="clear" w:color="auto" w:fill="939598"/>
          </w:tcPr>
          <w:p w14:paraId="2039C052" w14:textId="1933E9D1" w:rsidR="00CB6DE3" w:rsidRPr="004C63CF" w:rsidRDefault="00CB6DE3" w:rsidP="00837E9F">
            <w:pPr>
              <w:rPr>
                <w:rFonts w:ascii="Arial" w:hAnsi="Arial"/>
              </w:rPr>
            </w:pPr>
            <w:r w:rsidRPr="004C63CF">
              <w:rPr>
                <w:rFonts w:ascii="Arial" w:hAnsi="Arial"/>
              </w:rPr>
              <w:t>Board of Management (BOM)</w:t>
            </w:r>
          </w:p>
        </w:tc>
      </w:tr>
      <w:tr w:rsidR="00CB6DE3" w:rsidRPr="00837E9F" w14:paraId="7D7F4A4B" w14:textId="77777777" w:rsidTr="00392640">
        <w:trPr>
          <w:trHeight w:val="20"/>
        </w:trPr>
        <w:tc>
          <w:tcPr>
            <w:tcW w:w="2699" w:type="dxa"/>
            <w:shd w:val="clear" w:color="auto" w:fill="DCDDDE"/>
          </w:tcPr>
          <w:p w14:paraId="5DEF7067" w14:textId="77777777" w:rsidR="00CB6DE3" w:rsidRPr="004C63CF" w:rsidRDefault="00CB6DE3" w:rsidP="00837E9F">
            <w:pPr>
              <w:rPr>
                <w:rFonts w:ascii="Arial" w:hAnsi="Arial"/>
              </w:rPr>
            </w:pPr>
            <w:r w:rsidRPr="004C63CF">
              <w:rPr>
                <w:rFonts w:ascii="Arial" w:hAnsi="Arial"/>
              </w:rPr>
              <w:t>Purpose</w:t>
            </w:r>
          </w:p>
        </w:tc>
        <w:tc>
          <w:tcPr>
            <w:tcW w:w="7229" w:type="dxa"/>
            <w:shd w:val="clear" w:color="auto" w:fill="DCDDDE"/>
          </w:tcPr>
          <w:p w14:paraId="0517CF7B" w14:textId="12D8957B" w:rsidR="00CB6DE3" w:rsidRPr="004C63CF" w:rsidRDefault="00485BCA" w:rsidP="00837E9F">
            <w:pPr>
              <w:rPr>
                <w:rFonts w:ascii="Arial" w:hAnsi="Arial"/>
              </w:rPr>
            </w:pPr>
            <w:r w:rsidRPr="004C63CF">
              <w:rPr>
                <w:rFonts w:ascii="Arial" w:hAnsi="Arial"/>
              </w:rPr>
              <w:t>To shape the strategic direction of the department to ensure the delivery of the government’s priorities; to monitor performance against the department’s strategic objectives; and to ensure strategic partnerships are established and maintained.</w:t>
            </w:r>
          </w:p>
        </w:tc>
      </w:tr>
      <w:tr w:rsidR="00CB6DE3" w:rsidRPr="00837E9F" w14:paraId="4F4E1BDC" w14:textId="77777777" w:rsidTr="00392640">
        <w:trPr>
          <w:trHeight w:val="20"/>
        </w:trPr>
        <w:tc>
          <w:tcPr>
            <w:tcW w:w="2699" w:type="dxa"/>
          </w:tcPr>
          <w:p w14:paraId="4162B4FF" w14:textId="77777777" w:rsidR="00CB6DE3" w:rsidRPr="004C63CF" w:rsidRDefault="00CB6DE3" w:rsidP="00837E9F">
            <w:pPr>
              <w:rPr>
                <w:rFonts w:ascii="Arial" w:hAnsi="Arial"/>
              </w:rPr>
            </w:pPr>
            <w:r w:rsidRPr="004C63CF">
              <w:rPr>
                <w:rFonts w:ascii="Arial" w:hAnsi="Arial"/>
              </w:rPr>
              <w:lastRenderedPageBreak/>
              <w:t>Membership</w:t>
            </w:r>
          </w:p>
        </w:tc>
        <w:tc>
          <w:tcPr>
            <w:tcW w:w="7229" w:type="dxa"/>
          </w:tcPr>
          <w:p w14:paraId="48F3D601" w14:textId="77777777" w:rsidR="00485BCA" w:rsidRPr="004C63CF" w:rsidRDefault="00485BCA" w:rsidP="00837E9F">
            <w:pPr>
              <w:pStyle w:val="ListBullet"/>
              <w:rPr>
                <w:rFonts w:ascii="Arial" w:hAnsi="Arial"/>
              </w:rPr>
            </w:pPr>
            <w:r w:rsidRPr="004C63CF">
              <w:rPr>
                <w:rFonts w:ascii="Arial" w:hAnsi="Arial"/>
              </w:rPr>
              <w:t>Director-General (Chair)</w:t>
            </w:r>
          </w:p>
          <w:p w14:paraId="4D65D1AF" w14:textId="77777777" w:rsidR="00485BCA" w:rsidRPr="004C63CF" w:rsidRDefault="00485BCA" w:rsidP="00837E9F">
            <w:pPr>
              <w:pStyle w:val="ListBullet"/>
              <w:rPr>
                <w:rFonts w:ascii="Arial" w:hAnsi="Arial"/>
              </w:rPr>
            </w:pPr>
            <w:r w:rsidRPr="004C63CF">
              <w:rPr>
                <w:rFonts w:ascii="Arial" w:hAnsi="Arial"/>
              </w:rPr>
              <w:t>Associate Director-General, Seniors and Disability Services</w:t>
            </w:r>
          </w:p>
          <w:p w14:paraId="562A00F0" w14:textId="77777777" w:rsidR="00485BCA" w:rsidRPr="004C63CF" w:rsidRDefault="00485BCA" w:rsidP="00837E9F">
            <w:pPr>
              <w:pStyle w:val="ListBullet"/>
              <w:rPr>
                <w:rFonts w:ascii="Arial" w:hAnsi="Arial"/>
              </w:rPr>
            </w:pPr>
            <w:r w:rsidRPr="004C63CF">
              <w:rPr>
                <w:rFonts w:ascii="Arial" w:hAnsi="Arial"/>
              </w:rPr>
              <w:t>Deputy Director-General, Policy and Corporate Services</w:t>
            </w:r>
          </w:p>
          <w:p w14:paraId="2472D347" w14:textId="77777777" w:rsidR="00485BCA" w:rsidRPr="004C63CF" w:rsidRDefault="00485BCA" w:rsidP="00837E9F">
            <w:pPr>
              <w:pStyle w:val="ListBullet"/>
              <w:rPr>
                <w:rFonts w:ascii="Arial" w:hAnsi="Arial"/>
              </w:rPr>
            </w:pPr>
            <w:r w:rsidRPr="004C63CF">
              <w:rPr>
                <w:rFonts w:ascii="Arial" w:hAnsi="Arial"/>
              </w:rPr>
              <w:t>Deputy Director-General, Culture and Economic Policy</w:t>
            </w:r>
          </w:p>
          <w:p w14:paraId="64200755" w14:textId="77777777" w:rsidR="00485BCA" w:rsidRPr="004C63CF" w:rsidRDefault="00485BCA" w:rsidP="00837E9F">
            <w:pPr>
              <w:pStyle w:val="ListBullet"/>
              <w:rPr>
                <w:rFonts w:ascii="Arial" w:hAnsi="Arial"/>
              </w:rPr>
            </w:pPr>
            <w:r w:rsidRPr="004C63CF">
              <w:rPr>
                <w:rFonts w:ascii="Arial" w:hAnsi="Arial"/>
              </w:rPr>
              <w:t>Assistant Director-General, Disability Connect Queensland</w:t>
            </w:r>
          </w:p>
          <w:p w14:paraId="3BC63F17" w14:textId="4EC00BE9" w:rsidR="00485BCA" w:rsidRPr="004C63CF" w:rsidRDefault="00485BCA" w:rsidP="00837E9F">
            <w:pPr>
              <w:pStyle w:val="ListBullet"/>
              <w:rPr>
                <w:rFonts w:ascii="Arial" w:hAnsi="Arial"/>
              </w:rPr>
            </w:pPr>
            <w:r w:rsidRPr="004C63CF">
              <w:rPr>
                <w:rFonts w:ascii="Arial" w:hAnsi="Arial"/>
              </w:rPr>
              <w:t xml:space="preserve">Assistant Director-General, Disability Accommodation, Respite </w:t>
            </w:r>
            <w:r w:rsidR="00462488" w:rsidRPr="004C63CF">
              <w:rPr>
                <w:rFonts w:ascii="Arial" w:hAnsi="Arial"/>
              </w:rPr>
              <w:t>and Forensic</w:t>
            </w:r>
            <w:r w:rsidRPr="004C63CF">
              <w:rPr>
                <w:rFonts w:ascii="Arial" w:hAnsi="Arial"/>
              </w:rPr>
              <w:t xml:space="preserve"> Services</w:t>
            </w:r>
          </w:p>
          <w:p w14:paraId="3F6F2ED2" w14:textId="77777777" w:rsidR="00485BCA" w:rsidRPr="004C63CF" w:rsidRDefault="00485BCA" w:rsidP="00837E9F">
            <w:pPr>
              <w:pStyle w:val="ListBullet"/>
              <w:rPr>
                <w:rFonts w:ascii="Arial" w:hAnsi="Arial"/>
              </w:rPr>
            </w:pPr>
            <w:r w:rsidRPr="004C63CF">
              <w:rPr>
                <w:rFonts w:ascii="Arial" w:hAnsi="Arial"/>
              </w:rPr>
              <w:t>Chief Human Resource Officer</w:t>
            </w:r>
          </w:p>
          <w:p w14:paraId="2764037C" w14:textId="77777777" w:rsidR="00485BCA" w:rsidRPr="004C63CF" w:rsidRDefault="00485BCA" w:rsidP="00837E9F">
            <w:pPr>
              <w:pStyle w:val="ListBullet"/>
              <w:rPr>
                <w:rFonts w:ascii="Arial" w:hAnsi="Arial"/>
              </w:rPr>
            </w:pPr>
            <w:r w:rsidRPr="004C63CF">
              <w:rPr>
                <w:rFonts w:ascii="Arial" w:hAnsi="Arial"/>
              </w:rPr>
              <w:t>Chief Finance Officer</w:t>
            </w:r>
          </w:p>
          <w:p w14:paraId="1B20AB08" w14:textId="7E338509" w:rsidR="00CB6DE3" w:rsidRPr="004C63CF" w:rsidRDefault="00485BCA" w:rsidP="00837E9F">
            <w:pPr>
              <w:rPr>
                <w:rFonts w:ascii="Arial" w:hAnsi="Arial"/>
              </w:rPr>
            </w:pPr>
            <w:r w:rsidRPr="004C63CF">
              <w:rPr>
                <w:rFonts w:ascii="Arial" w:hAnsi="Arial"/>
              </w:rPr>
              <w:t>Director, Office of the Director-General (non-voting member)</w:t>
            </w:r>
          </w:p>
        </w:tc>
      </w:tr>
      <w:tr w:rsidR="00CB6DE3" w:rsidRPr="00837E9F" w14:paraId="3FD1F554" w14:textId="77777777" w:rsidTr="00392640">
        <w:trPr>
          <w:trHeight w:val="20"/>
        </w:trPr>
        <w:tc>
          <w:tcPr>
            <w:tcW w:w="2699" w:type="dxa"/>
          </w:tcPr>
          <w:p w14:paraId="5CB23804" w14:textId="77777777" w:rsidR="00CB6DE3" w:rsidRPr="004C63CF" w:rsidRDefault="00CB6DE3" w:rsidP="00837E9F">
            <w:pPr>
              <w:rPr>
                <w:rFonts w:ascii="Arial" w:hAnsi="Arial"/>
              </w:rPr>
            </w:pPr>
            <w:r w:rsidRPr="004C63CF">
              <w:rPr>
                <w:rFonts w:ascii="Arial" w:hAnsi="Arial"/>
              </w:rPr>
              <w:t>Meeting frequency</w:t>
            </w:r>
          </w:p>
        </w:tc>
        <w:tc>
          <w:tcPr>
            <w:tcW w:w="7229" w:type="dxa"/>
          </w:tcPr>
          <w:p w14:paraId="29C68466" w14:textId="70027CF1" w:rsidR="00CB6DE3" w:rsidRPr="004C63CF" w:rsidRDefault="00753D82" w:rsidP="00837E9F">
            <w:pPr>
              <w:rPr>
                <w:rFonts w:ascii="Arial" w:hAnsi="Arial"/>
              </w:rPr>
            </w:pPr>
            <w:r w:rsidRPr="004C63CF">
              <w:rPr>
                <w:rFonts w:ascii="Arial" w:hAnsi="Arial"/>
              </w:rPr>
              <w:t xml:space="preserve">The </w:t>
            </w:r>
            <w:r w:rsidR="002B6EB1" w:rsidRPr="004C63CF">
              <w:rPr>
                <w:rFonts w:ascii="Arial" w:hAnsi="Arial"/>
              </w:rPr>
              <w:t>Board of Management (</w:t>
            </w:r>
            <w:r w:rsidRPr="004C63CF">
              <w:rPr>
                <w:rFonts w:ascii="Arial" w:hAnsi="Arial"/>
              </w:rPr>
              <w:t>BOM</w:t>
            </w:r>
            <w:r w:rsidR="002B6EB1" w:rsidRPr="004C63CF">
              <w:rPr>
                <w:rFonts w:ascii="Arial" w:hAnsi="Arial"/>
              </w:rPr>
              <w:t>)</w:t>
            </w:r>
            <w:r w:rsidRPr="004C63CF">
              <w:rPr>
                <w:rFonts w:ascii="Arial" w:hAnsi="Arial"/>
              </w:rPr>
              <w:t xml:space="preserve"> meets monthly. The BOM </w:t>
            </w:r>
            <w:r w:rsidR="00CB6DE3" w:rsidRPr="004C63CF">
              <w:rPr>
                <w:rFonts w:ascii="Arial" w:hAnsi="Arial"/>
              </w:rPr>
              <w:t xml:space="preserve">met </w:t>
            </w:r>
            <w:r w:rsidR="00D728FD" w:rsidRPr="004C63CF">
              <w:rPr>
                <w:rFonts w:ascii="Arial" w:hAnsi="Arial"/>
              </w:rPr>
              <w:t>five</w:t>
            </w:r>
            <w:r w:rsidR="00CB6DE3" w:rsidRPr="004C63CF">
              <w:rPr>
                <w:rFonts w:ascii="Arial" w:hAnsi="Arial"/>
              </w:rPr>
              <w:t xml:space="preserve"> times from 1</w:t>
            </w:r>
            <w:r w:rsidRPr="004C63CF">
              <w:rPr>
                <w:rFonts w:ascii="Arial" w:hAnsi="Arial"/>
              </w:rPr>
              <w:t>3</w:t>
            </w:r>
            <w:r w:rsidR="00CB6DE3" w:rsidRPr="004C63CF">
              <w:rPr>
                <w:rFonts w:ascii="Arial" w:hAnsi="Arial"/>
              </w:rPr>
              <w:t xml:space="preserve"> November 2020</w:t>
            </w:r>
            <w:r w:rsidRPr="004C63CF">
              <w:rPr>
                <w:rFonts w:ascii="Arial" w:hAnsi="Arial"/>
              </w:rPr>
              <w:t xml:space="preserve"> to 30 June 2021.</w:t>
            </w:r>
            <w:r w:rsidR="00CB6DE3" w:rsidRPr="004C63CF">
              <w:rPr>
                <w:rFonts w:ascii="Arial" w:hAnsi="Arial"/>
              </w:rPr>
              <w:t xml:space="preserve"> </w:t>
            </w:r>
          </w:p>
        </w:tc>
      </w:tr>
    </w:tbl>
    <w:p w14:paraId="286B0B65" w14:textId="171C186B" w:rsidR="00E3035F" w:rsidRPr="00E4449B" w:rsidRDefault="00E3035F"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8464EC" w14:paraId="38C9BD80" w14:textId="77777777" w:rsidTr="00392640">
        <w:trPr>
          <w:trHeight w:val="20"/>
        </w:trPr>
        <w:tc>
          <w:tcPr>
            <w:tcW w:w="9928" w:type="dxa"/>
            <w:gridSpan w:val="2"/>
            <w:shd w:val="clear" w:color="auto" w:fill="939598"/>
          </w:tcPr>
          <w:p w14:paraId="606FB6EE" w14:textId="77777777" w:rsidR="00F159BF" w:rsidRPr="004C63CF" w:rsidRDefault="00F159BF" w:rsidP="008464EC">
            <w:pPr>
              <w:rPr>
                <w:rFonts w:ascii="Arial" w:hAnsi="Arial"/>
              </w:rPr>
            </w:pPr>
            <w:bookmarkStart w:id="19" w:name="_Hlk77946484"/>
            <w:r w:rsidRPr="004C63CF">
              <w:rPr>
                <w:rFonts w:ascii="Arial" w:hAnsi="Arial"/>
              </w:rPr>
              <w:t xml:space="preserve">AS&amp;RS Senior Leadership Team Committee </w:t>
            </w:r>
          </w:p>
        </w:tc>
      </w:tr>
      <w:tr w:rsidR="00F159BF" w:rsidRPr="008464EC" w14:paraId="079648B6" w14:textId="77777777" w:rsidTr="00392640">
        <w:trPr>
          <w:trHeight w:val="20"/>
        </w:trPr>
        <w:tc>
          <w:tcPr>
            <w:tcW w:w="2699" w:type="dxa"/>
            <w:shd w:val="clear" w:color="auto" w:fill="DCDDDE"/>
          </w:tcPr>
          <w:p w14:paraId="2E77A6B3" w14:textId="77777777" w:rsidR="00F159BF" w:rsidRPr="004C63CF" w:rsidRDefault="00F159BF" w:rsidP="008464EC">
            <w:pPr>
              <w:rPr>
                <w:rFonts w:ascii="Arial" w:hAnsi="Arial"/>
              </w:rPr>
            </w:pPr>
            <w:r w:rsidRPr="004C63CF">
              <w:rPr>
                <w:rFonts w:ascii="Arial" w:hAnsi="Arial"/>
              </w:rPr>
              <w:t>Purpose</w:t>
            </w:r>
          </w:p>
        </w:tc>
        <w:tc>
          <w:tcPr>
            <w:tcW w:w="7229" w:type="dxa"/>
            <w:shd w:val="clear" w:color="auto" w:fill="DCDDDE"/>
          </w:tcPr>
          <w:p w14:paraId="3F42FAA4" w14:textId="77777777" w:rsidR="00F159BF" w:rsidRPr="004C63CF" w:rsidRDefault="00F159BF" w:rsidP="008464EC">
            <w:pPr>
              <w:rPr>
                <w:rFonts w:ascii="Arial" w:hAnsi="Arial"/>
              </w:rPr>
            </w:pPr>
            <w:r w:rsidRPr="004C63CF">
              <w:rPr>
                <w:rFonts w:ascii="Arial" w:hAnsi="Arial"/>
              </w:rPr>
              <w:t>To set the strategic direction for Accommodation Support and Respite Services; to monitor strategic and operational activities; and to respond strategically to emerging issues.</w:t>
            </w:r>
          </w:p>
        </w:tc>
      </w:tr>
      <w:tr w:rsidR="00F159BF" w:rsidRPr="008464EC" w14:paraId="10A8A229" w14:textId="77777777" w:rsidTr="00392640">
        <w:trPr>
          <w:trHeight w:val="20"/>
        </w:trPr>
        <w:tc>
          <w:tcPr>
            <w:tcW w:w="2699" w:type="dxa"/>
          </w:tcPr>
          <w:p w14:paraId="098EA155" w14:textId="77777777" w:rsidR="00F159BF" w:rsidRPr="004C63CF" w:rsidRDefault="00F159BF" w:rsidP="008464EC">
            <w:pPr>
              <w:rPr>
                <w:rFonts w:ascii="Arial" w:hAnsi="Arial"/>
              </w:rPr>
            </w:pPr>
            <w:r w:rsidRPr="004C63CF">
              <w:rPr>
                <w:rFonts w:ascii="Arial" w:hAnsi="Arial"/>
              </w:rPr>
              <w:t>Membership</w:t>
            </w:r>
          </w:p>
        </w:tc>
        <w:tc>
          <w:tcPr>
            <w:tcW w:w="7229" w:type="dxa"/>
          </w:tcPr>
          <w:p w14:paraId="264A73D0" w14:textId="77777777" w:rsidR="00F159BF" w:rsidRPr="004C63CF" w:rsidRDefault="00F159BF" w:rsidP="008464EC">
            <w:pPr>
              <w:pStyle w:val="ListBullet"/>
              <w:rPr>
                <w:rFonts w:ascii="Arial" w:hAnsi="Arial"/>
              </w:rPr>
            </w:pPr>
            <w:r w:rsidRPr="004C63CF">
              <w:rPr>
                <w:rFonts w:ascii="Arial" w:hAnsi="Arial"/>
              </w:rPr>
              <w:t>Assistant Director-General, Disability Accommodation, Respite and Forensic Services (Chair)</w:t>
            </w:r>
          </w:p>
          <w:p w14:paraId="1149A777" w14:textId="77777777" w:rsidR="00F159BF" w:rsidRPr="004C63CF" w:rsidRDefault="00F159BF" w:rsidP="008464EC">
            <w:pPr>
              <w:pStyle w:val="ListBullet"/>
              <w:rPr>
                <w:rFonts w:ascii="Arial" w:hAnsi="Arial"/>
              </w:rPr>
            </w:pPr>
            <w:r w:rsidRPr="004C63CF">
              <w:rPr>
                <w:rFonts w:ascii="Arial" w:hAnsi="Arial"/>
              </w:rPr>
              <w:t>AS&amp;RS Directors</w:t>
            </w:r>
          </w:p>
          <w:p w14:paraId="51AA3CD9" w14:textId="09FCE255" w:rsidR="00F159BF" w:rsidRPr="004C63CF" w:rsidRDefault="00F159BF" w:rsidP="008464EC">
            <w:pPr>
              <w:pStyle w:val="ListBullet"/>
              <w:rPr>
                <w:rFonts w:ascii="Arial" w:hAnsi="Arial"/>
              </w:rPr>
            </w:pPr>
            <w:r w:rsidRPr="004C63CF">
              <w:rPr>
                <w:rFonts w:ascii="Arial" w:hAnsi="Arial"/>
              </w:rPr>
              <w:t>Managers</w:t>
            </w:r>
            <w:r w:rsidR="002B6EB1" w:rsidRPr="004C63CF">
              <w:rPr>
                <w:rFonts w:ascii="Arial" w:hAnsi="Arial"/>
              </w:rPr>
              <w:t xml:space="preserve">, </w:t>
            </w:r>
            <w:r w:rsidRPr="004C63CF">
              <w:rPr>
                <w:rFonts w:ascii="Arial" w:hAnsi="Arial"/>
              </w:rPr>
              <w:t xml:space="preserve">Service Area </w:t>
            </w:r>
            <w:r w:rsidR="00717304" w:rsidRPr="004C63CF">
              <w:rPr>
                <w:rFonts w:ascii="Arial" w:hAnsi="Arial"/>
              </w:rPr>
              <w:t>and</w:t>
            </w:r>
            <w:r w:rsidRPr="004C63CF">
              <w:rPr>
                <w:rFonts w:ascii="Arial" w:hAnsi="Arial"/>
              </w:rPr>
              <w:t xml:space="preserve"> Service Support (Afternoon Session)</w:t>
            </w:r>
          </w:p>
          <w:p w14:paraId="0AED28A7" w14:textId="78249D62" w:rsidR="00F159BF" w:rsidRPr="004C63CF" w:rsidRDefault="00F159BF" w:rsidP="008464EC">
            <w:pPr>
              <w:pStyle w:val="ListBullet"/>
              <w:rPr>
                <w:rFonts w:ascii="Arial" w:hAnsi="Arial"/>
              </w:rPr>
            </w:pPr>
            <w:r w:rsidRPr="004C63CF">
              <w:rPr>
                <w:rFonts w:ascii="Arial" w:hAnsi="Arial"/>
              </w:rPr>
              <w:t>Principal Executive Officer to A</w:t>
            </w:r>
            <w:r w:rsidR="00717304" w:rsidRPr="004C63CF">
              <w:rPr>
                <w:rFonts w:ascii="Arial" w:hAnsi="Arial"/>
              </w:rPr>
              <w:t xml:space="preserve">ssistant </w:t>
            </w:r>
            <w:r w:rsidRPr="004C63CF">
              <w:rPr>
                <w:rFonts w:ascii="Arial" w:hAnsi="Arial"/>
              </w:rPr>
              <w:t>D</w:t>
            </w:r>
            <w:r w:rsidR="00717304" w:rsidRPr="004C63CF">
              <w:rPr>
                <w:rFonts w:ascii="Arial" w:hAnsi="Arial"/>
              </w:rPr>
              <w:t>irector-</w:t>
            </w:r>
            <w:r w:rsidRPr="004C63CF">
              <w:rPr>
                <w:rFonts w:ascii="Arial" w:hAnsi="Arial"/>
              </w:rPr>
              <w:t>G</w:t>
            </w:r>
            <w:r w:rsidR="00717304" w:rsidRPr="004C63CF">
              <w:rPr>
                <w:rFonts w:ascii="Arial" w:hAnsi="Arial"/>
              </w:rPr>
              <w:t>eneral</w:t>
            </w:r>
          </w:p>
          <w:p w14:paraId="38DCFB7C" w14:textId="686A62B7" w:rsidR="00F159BF" w:rsidRPr="004C63CF" w:rsidRDefault="00F159BF" w:rsidP="008464EC">
            <w:pPr>
              <w:pStyle w:val="ListBullet"/>
              <w:rPr>
                <w:rFonts w:ascii="Arial" w:hAnsi="Arial"/>
              </w:rPr>
            </w:pPr>
            <w:r w:rsidRPr="004C63CF">
              <w:rPr>
                <w:rFonts w:ascii="Arial" w:hAnsi="Arial"/>
              </w:rPr>
              <w:t>Manager, Business Services</w:t>
            </w:r>
          </w:p>
        </w:tc>
      </w:tr>
      <w:tr w:rsidR="00F159BF" w:rsidRPr="008464EC" w14:paraId="264FFC59" w14:textId="77777777" w:rsidTr="00392640">
        <w:trPr>
          <w:trHeight w:val="20"/>
        </w:trPr>
        <w:tc>
          <w:tcPr>
            <w:tcW w:w="2699" w:type="dxa"/>
          </w:tcPr>
          <w:p w14:paraId="2FD3AEE0" w14:textId="77777777" w:rsidR="00F159BF" w:rsidRPr="004C63CF" w:rsidRDefault="00F159BF" w:rsidP="008464EC">
            <w:pPr>
              <w:rPr>
                <w:rFonts w:ascii="Arial" w:hAnsi="Arial"/>
              </w:rPr>
            </w:pPr>
            <w:r w:rsidRPr="004C63CF">
              <w:rPr>
                <w:rFonts w:ascii="Arial" w:hAnsi="Arial"/>
              </w:rPr>
              <w:t>Meeting frequency</w:t>
            </w:r>
          </w:p>
        </w:tc>
        <w:tc>
          <w:tcPr>
            <w:tcW w:w="7229" w:type="dxa"/>
          </w:tcPr>
          <w:p w14:paraId="37BE9B13" w14:textId="1979872D" w:rsidR="00F159BF" w:rsidRPr="004C63CF" w:rsidRDefault="00F159BF" w:rsidP="008464EC">
            <w:pPr>
              <w:rPr>
                <w:rFonts w:ascii="Arial" w:hAnsi="Arial"/>
              </w:rPr>
            </w:pPr>
            <w:r w:rsidRPr="004C63CF">
              <w:rPr>
                <w:rFonts w:ascii="Arial" w:hAnsi="Arial"/>
              </w:rPr>
              <w:t xml:space="preserve">The AS&amp;RS Senior Leadership Team Committee meets monthly. The </w:t>
            </w:r>
            <w:r w:rsidR="00D354BD" w:rsidRPr="004C63CF">
              <w:rPr>
                <w:rFonts w:ascii="Arial" w:hAnsi="Arial"/>
              </w:rPr>
              <w:t>Committee met</w:t>
            </w:r>
            <w:r w:rsidRPr="004C63CF">
              <w:rPr>
                <w:rFonts w:ascii="Arial" w:hAnsi="Arial"/>
              </w:rPr>
              <w:t xml:space="preserve"> six times from 13 November 2020 to 30 June 2021. </w:t>
            </w:r>
          </w:p>
        </w:tc>
      </w:tr>
      <w:bookmarkEnd w:id="19"/>
    </w:tbl>
    <w:p w14:paraId="6D75D825" w14:textId="77777777" w:rsidR="008464EC" w:rsidRDefault="008464EC">
      <w:pPr>
        <w:spacing w:after="0" w:line="240" w:lineRule="auto"/>
        <w:rPr>
          <w:rFonts w:eastAsia="Calibri"/>
          <w:lang w:eastAsia="en-US"/>
        </w:rPr>
      </w:pPr>
      <w:r>
        <w:rPr>
          <w:rFonts w:eastAsia="Calibri"/>
          <w:lang w:eastAsia="en-US"/>
        </w:rPr>
        <w:br w:type="page"/>
      </w: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4"/>
        <w:gridCol w:w="7234"/>
      </w:tblGrid>
      <w:tr w:rsidR="00160940" w:rsidRPr="008464EC" w14:paraId="6E1772A8" w14:textId="77777777" w:rsidTr="00392640">
        <w:trPr>
          <w:trHeight w:val="20"/>
        </w:trPr>
        <w:tc>
          <w:tcPr>
            <w:tcW w:w="9928" w:type="dxa"/>
            <w:gridSpan w:val="2"/>
            <w:shd w:val="clear" w:color="auto" w:fill="939598"/>
          </w:tcPr>
          <w:p w14:paraId="1EDBB765" w14:textId="20AFA395" w:rsidR="00160940" w:rsidRPr="00B06206" w:rsidRDefault="00160940" w:rsidP="008464EC">
            <w:pPr>
              <w:rPr>
                <w:rFonts w:ascii="Arial" w:hAnsi="Arial"/>
              </w:rPr>
            </w:pPr>
            <w:r w:rsidRPr="00B06206">
              <w:rPr>
                <w:rFonts w:ascii="Arial" w:hAnsi="Arial"/>
              </w:rPr>
              <w:lastRenderedPageBreak/>
              <w:t xml:space="preserve">Audit and Risk Committee </w:t>
            </w:r>
          </w:p>
        </w:tc>
      </w:tr>
      <w:tr w:rsidR="00160940" w:rsidRPr="008464EC" w14:paraId="6CA2D131" w14:textId="77777777" w:rsidTr="00A20A11">
        <w:trPr>
          <w:trHeight w:val="20"/>
        </w:trPr>
        <w:tc>
          <w:tcPr>
            <w:tcW w:w="2694" w:type="dxa"/>
            <w:shd w:val="clear" w:color="auto" w:fill="DCDDDE"/>
          </w:tcPr>
          <w:p w14:paraId="1496967D" w14:textId="77777777" w:rsidR="00160940" w:rsidRPr="00B06206" w:rsidRDefault="00160940" w:rsidP="008464EC">
            <w:pPr>
              <w:rPr>
                <w:rFonts w:ascii="Arial" w:hAnsi="Arial"/>
              </w:rPr>
            </w:pPr>
            <w:r w:rsidRPr="00B06206">
              <w:rPr>
                <w:rFonts w:ascii="Arial" w:hAnsi="Arial"/>
              </w:rPr>
              <w:t>Purpose</w:t>
            </w:r>
          </w:p>
        </w:tc>
        <w:tc>
          <w:tcPr>
            <w:tcW w:w="7234" w:type="dxa"/>
            <w:shd w:val="clear" w:color="auto" w:fill="DCDDDE"/>
          </w:tcPr>
          <w:p w14:paraId="1E6A2500" w14:textId="5AFD3170" w:rsidR="00462488" w:rsidRPr="00B06206" w:rsidRDefault="00717304" w:rsidP="008464EC">
            <w:pPr>
              <w:rPr>
                <w:rFonts w:ascii="Arial" w:hAnsi="Arial"/>
              </w:rPr>
            </w:pPr>
            <w:r w:rsidRPr="00B06206">
              <w:rPr>
                <w:rFonts w:ascii="Arial" w:hAnsi="Arial"/>
              </w:rPr>
              <w:t xml:space="preserve">To </w:t>
            </w:r>
            <w:r w:rsidR="00462488" w:rsidRPr="00B06206">
              <w:rPr>
                <w:rFonts w:ascii="Arial" w:hAnsi="Arial"/>
              </w:rPr>
              <w:t>provide independent assurance and assistance to the Director-General on:</w:t>
            </w:r>
          </w:p>
          <w:p w14:paraId="2C381F82" w14:textId="6D0D98DE" w:rsidR="00462488" w:rsidRPr="00B06206" w:rsidRDefault="00462488" w:rsidP="008464EC">
            <w:pPr>
              <w:rPr>
                <w:rFonts w:ascii="Arial" w:hAnsi="Arial"/>
              </w:rPr>
            </w:pPr>
            <w:r w:rsidRPr="00B06206">
              <w:rPr>
                <w:rFonts w:ascii="Arial" w:hAnsi="Arial"/>
              </w:rPr>
              <w:t xml:space="preserve">the risk, control and compliance frameworks, </w:t>
            </w:r>
            <w:r w:rsidR="001B0E4A" w:rsidRPr="00B06206">
              <w:rPr>
                <w:rFonts w:ascii="Arial" w:hAnsi="Arial"/>
              </w:rPr>
              <w:t>and the</w:t>
            </w:r>
            <w:r w:rsidR="00717304" w:rsidRPr="00B06206">
              <w:rPr>
                <w:rFonts w:ascii="Arial" w:hAnsi="Arial"/>
              </w:rPr>
              <w:t xml:space="preserve"> d</w:t>
            </w:r>
            <w:r w:rsidRPr="00B06206">
              <w:rPr>
                <w:rFonts w:ascii="Arial" w:hAnsi="Arial"/>
              </w:rPr>
              <w:t xml:space="preserve">epartment’s external accountability responsibilities, and other matters relevant to the duties and responsibilities of the </w:t>
            </w:r>
            <w:r w:rsidR="00717304" w:rsidRPr="00B06206">
              <w:rPr>
                <w:rFonts w:ascii="Arial" w:hAnsi="Arial"/>
              </w:rPr>
              <w:t>c</w:t>
            </w:r>
            <w:r w:rsidRPr="00B06206">
              <w:rPr>
                <w:rFonts w:ascii="Arial" w:hAnsi="Arial"/>
              </w:rPr>
              <w:t>ommittee as set out below, and as prescribed in the</w:t>
            </w:r>
          </w:p>
          <w:p w14:paraId="001D966C" w14:textId="4D4425BD" w:rsidR="00462488" w:rsidRPr="00B06206" w:rsidRDefault="00462488" w:rsidP="00A20A11">
            <w:pPr>
              <w:pStyle w:val="ListParagraph"/>
              <w:numPr>
                <w:ilvl w:val="0"/>
                <w:numId w:val="2"/>
              </w:numPr>
              <w:rPr>
                <w:rFonts w:ascii="Arial" w:hAnsi="Arial"/>
                <w:i/>
                <w:iCs/>
              </w:rPr>
            </w:pPr>
            <w:r w:rsidRPr="00B06206">
              <w:rPr>
                <w:rFonts w:ascii="Arial" w:hAnsi="Arial"/>
                <w:i/>
                <w:iCs/>
              </w:rPr>
              <w:t>Financial Accountability Act 2009</w:t>
            </w:r>
          </w:p>
          <w:p w14:paraId="0A2058B2" w14:textId="2B3A49C2" w:rsidR="00462488" w:rsidRPr="00B06206" w:rsidRDefault="00462488" w:rsidP="00A20A11">
            <w:pPr>
              <w:pStyle w:val="ListParagraph"/>
              <w:numPr>
                <w:ilvl w:val="0"/>
                <w:numId w:val="2"/>
              </w:numPr>
              <w:rPr>
                <w:rFonts w:ascii="Arial" w:hAnsi="Arial"/>
              </w:rPr>
            </w:pPr>
            <w:r w:rsidRPr="00B06206">
              <w:rPr>
                <w:rFonts w:ascii="Arial" w:hAnsi="Arial"/>
                <w:i/>
                <w:iCs/>
              </w:rPr>
              <w:t>Financial Accountability Regulation 2009</w:t>
            </w:r>
            <w:r w:rsidRPr="00B06206">
              <w:rPr>
                <w:rFonts w:ascii="Arial" w:hAnsi="Arial"/>
              </w:rPr>
              <w:t xml:space="preserve"> and</w:t>
            </w:r>
          </w:p>
          <w:p w14:paraId="270457A3" w14:textId="07A7E2A1" w:rsidR="00160940" w:rsidRPr="00B06206" w:rsidRDefault="00462488" w:rsidP="00A20A11">
            <w:pPr>
              <w:pStyle w:val="ListParagraph"/>
              <w:numPr>
                <w:ilvl w:val="0"/>
                <w:numId w:val="2"/>
              </w:numPr>
              <w:rPr>
                <w:rFonts w:ascii="Arial" w:hAnsi="Arial"/>
              </w:rPr>
            </w:pPr>
            <w:r w:rsidRPr="00B06206">
              <w:rPr>
                <w:rFonts w:ascii="Arial" w:hAnsi="Arial"/>
                <w:i/>
                <w:iCs/>
              </w:rPr>
              <w:t>Financial and Performance Management Standard 2009</w:t>
            </w:r>
          </w:p>
        </w:tc>
      </w:tr>
      <w:tr w:rsidR="00160940" w:rsidRPr="008464EC" w14:paraId="75CD0D71" w14:textId="77777777" w:rsidTr="00A20A11">
        <w:trPr>
          <w:trHeight w:val="20"/>
        </w:trPr>
        <w:tc>
          <w:tcPr>
            <w:tcW w:w="2694" w:type="dxa"/>
          </w:tcPr>
          <w:p w14:paraId="652B4E8A" w14:textId="77777777" w:rsidR="00160940" w:rsidRPr="00B06206" w:rsidRDefault="00160940" w:rsidP="008464EC">
            <w:pPr>
              <w:rPr>
                <w:rFonts w:ascii="Arial" w:hAnsi="Arial"/>
              </w:rPr>
            </w:pPr>
            <w:r w:rsidRPr="00B06206">
              <w:rPr>
                <w:rFonts w:ascii="Arial" w:hAnsi="Arial"/>
              </w:rPr>
              <w:t>Membership</w:t>
            </w:r>
          </w:p>
        </w:tc>
        <w:tc>
          <w:tcPr>
            <w:tcW w:w="7234" w:type="dxa"/>
          </w:tcPr>
          <w:p w14:paraId="33913B84" w14:textId="3D966F01" w:rsidR="00B64A25" w:rsidRPr="00B06206" w:rsidRDefault="00B64A25" w:rsidP="008464EC">
            <w:pPr>
              <w:pStyle w:val="ListBullet"/>
              <w:rPr>
                <w:rFonts w:ascii="Arial" w:hAnsi="Arial"/>
              </w:rPr>
            </w:pPr>
            <w:r w:rsidRPr="00B06206">
              <w:rPr>
                <w:rFonts w:ascii="Arial" w:hAnsi="Arial"/>
              </w:rPr>
              <w:t>Chair, External Independent Member</w:t>
            </w:r>
          </w:p>
          <w:p w14:paraId="65A4F691" w14:textId="23E4683A" w:rsidR="00B64A25" w:rsidRPr="00B06206" w:rsidRDefault="00B64A25" w:rsidP="008464EC">
            <w:pPr>
              <w:pStyle w:val="ListBullet"/>
              <w:rPr>
                <w:rFonts w:ascii="Arial" w:hAnsi="Arial"/>
              </w:rPr>
            </w:pPr>
            <w:r w:rsidRPr="00B06206">
              <w:rPr>
                <w:rFonts w:ascii="Arial" w:hAnsi="Arial"/>
              </w:rPr>
              <w:t>External Independent Member</w:t>
            </w:r>
          </w:p>
          <w:p w14:paraId="0493FAB0" w14:textId="0655831A" w:rsidR="00B64A25" w:rsidRPr="00B06206" w:rsidRDefault="00B64A25" w:rsidP="008464EC">
            <w:pPr>
              <w:pStyle w:val="ListBullet"/>
              <w:rPr>
                <w:rFonts w:ascii="Arial" w:hAnsi="Arial"/>
              </w:rPr>
            </w:pPr>
            <w:r w:rsidRPr="00B06206">
              <w:rPr>
                <w:rFonts w:ascii="Arial" w:hAnsi="Arial"/>
              </w:rPr>
              <w:t>Associate Director-General, Seniors and Disability Services</w:t>
            </w:r>
          </w:p>
          <w:p w14:paraId="3C04D587" w14:textId="415FA2DA" w:rsidR="00B64A25" w:rsidRPr="00B06206" w:rsidRDefault="00B64A25" w:rsidP="008464EC">
            <w:pPr>
              <w:pStyle w:val="ListBullet"/>
              <w:rPr>
                <w:rFonts w:ascii="Arial" w:hAnsi="Arial"/>
              </w:rPr>
            </w:pPr>
            <w:r w:rsidRPr="00B06206">
              <w:rPr>
                <w:rFonts w:ascii="Arial" w:hAnsi="Arial"/>
              </w:rPr>
              <w:t>Deputy Director-General, Policy and Corporate Services</w:t>
            </w:r>
          </w:p>
          <w:p w14:paraId="20808099" w14:textId="07BDFCB0" w:rsidR="00B64A25" w:rsidRPr="00B06206" w:rsidRDefault="00B64A25" w:rsidP="008464EC">
            <w:pPr>
              <w:pStyle w:val="ListBullet"/>
              <w:rPr>
                <w:rFonts w:ascii="Arial" w:hAnsi="Arial"/>
              </w:rPr>
            </w:pPr>
            <w:r w:rsidRPr="00B06206">
              <w:rPr>
                <w:rFonts w:ascii="Arial" w:hAnsi="Arial"/>
              </w:rPr>
              <w:t>Deputy Director-General, Culture and Economic Policy</w:t>
            </w:r>
          </w:p>
          <w:p w14:paraId="1101314D" w14:textId="21B067AA" w:rsidR="00160940" w:rsidRPr="00B06206" w:rsidRDefault="00B64A25" w:rsidP="008464EC">
            <w:pPr>
              <w:pStyle w:val="ListBullet"/>
              <w:rPr>
                <w:rFonts w:ascii="Arial" w:hAnsi="Arial"/>
              </w:rPr>
            </w:pPr>
            <w:r w:rsidRPr="00B06206">
              <w:rPr>
                <w:rFonts w:ascii="Arial" w:hAnsi="Arial"/>
              </w:rPr>
              <w:t>Emerging Leader (Member) – currently vacant</w:t>
            </w:r>
          </w:p>
        </w:tc>
      </w:tr>
      <w:tr w:rsidR="00160940" w:rsidRPr="008464EC" w14:paraId="0DCDB235" w14:textId="77777777" w:rsidTr="00A20A11">
        <w:trPr>
          <w:trHeight w:val="20"/>
        </w:trPr>
        <w:tc>
          <w:tcPr>
            <w:tcW w:w="2694" w:type="dxa"/>
          </w:tcPr>
          <w:p w14:paraId="7A5633F1" w14:textId="77777777" w:rsidR="00160940" w:rsidRPr="00B06206" w:rsidRDefault="00160940" w:rsidP="008464EC">
            <w:pPr>
              <w:rPr>
                <w:rFonts w:ascii="Arial" w:hAnsi="Arial"/>
              </w:rPr>
            </w:pPr>
            <w:r w:rsidRPr="00B06206">
              <w:rPr>
                <w:rFonts w:ascii="Arial" w:hAnsi="Arial"/>
              </w:rPr>
              <w:t>Meeting frequency</w:t>
            </w:r>
          </w:p>
        </w:tc>
        <w:tc>
          <w:tcPr>
            <w:tcW w:w="7234" w:type="dxa"/>
          </w:tcPr>
          <w:p w14:paraId="3E138478" w14:textId="66439506" w:rsidR="00160940" w:rsidRPr="00B06206" w:rsidRDefault="00753D82" w:rsidP="008464EC">
            <w:pPr>
              <w:rPr>
                <w:rFonts w:ascii="Arial" w:hAnsi="Arial"/>
              </w:rPr>
            </w:pPr>
            <w:r w:rsidRPr="00B06206">
              <w:rPr>
                <w:rFonts w:ascii="Arial" w:hAnsi="Arial"/>
              </w:rPr>
              <w:t xml:space="preserve">The Audit and Risk Committee meets </w:t>
            </w:r>
            <w:r w:rsidR="00B64A25" w:rsidRPr="00B06206">
              <w:rPr>
                <w:rFonts w:ascii="Arial" w:hAnsi="Arial"/>
              </w:rPr>
              <w:t>quarterly each financial year</w:t>
            </w:r>
            <w:r w:rsidRPr="00B06206">
              <w:rPr>
                <w:rFonts w:ascii="Arial" w:hAnsi="Arial"/>
              </w:rPr>
              <w:t>. The Committee</w:t>
            </w:r>
            <w:r w:rsidR="00F02EEB" w:rsidRPr="00B06206">
              <w:rPr>
                <w:rFonts w:ascii="Arial" w:hAnsi="Arial"/>
              </w:rPr>
              <w:t xml:space="preserve"> </w:t>
            </w:r>
            <w:r w:rsidRPr="00B06206">
              <w:rPr>
                <w:rFonts w:ascii="Arial" w:hAnsi="Arial"/>
              </w:rPr>
              <w:t xml:space="preserve">met </w:t>
            </w:r>
            <w:r w:rsidR="00B64A25" w:rsidRPr="00B06206">
              <w:rPr>
                <w:rFonts w:ascii="Arial" w:hAnsi="Arial"/>
              </w:rPr>
              <w:t>two</w:t>
            </w:r>
            <w:r w:rsidR="00160940" w:rsidRPr="00B06206">
              <w:rPr>
                <w:rFonts w:ascii="Arial" w:hAnsi="Arial"/>
              </w:rPr>
              <w:t xml:space="preserve"> times from </w:t>
            </w:r>
            <w:r w:rsidRPr="00B06206">
              <w:rPr>
                <w:rFonts w:ascii="Arial" w:hAnsi="Arial"/>
              </w:rPr>
              <w:t>13 November 2020 to 30 June 2021</w:t>
            </w:r>
            <w:r w:rsidR="00160940" w:rsidRPr="00B06206">
              <w:rPr>
                <w:rFonts w:ascii="Arial" w:hAnsi="Arial"/>
              </w:rPr>
              <w:t xml:space="preserve">. </w:t>
            </w:r>
          </w:p>
        </w:tc>
      </w:tr>
    </w:tbl>
    <w:p w14:paraId="7A80F440" w14:textId="1E6FC348" w:rsidR="00307C41" w:rsidRPr="00E4449B" w:rsidRDefault="00307C41"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8464EC" w14:paraId="395B1D48" w14:textId="77777777" w:rsidTr="00392640">
        <w:trPr>
          <w:trHeight w:val="20"/>
        </w:trPr>
        <w:tc>
          <w:tcPr>
            <w:tcW w:w="9928" w:type="dxa"/>
            <w:gridSpan w:val="2"/>
            <w:shd w:val="clear" w:color="auto" w:fill="939598"/>
          </w:tcPr>
          <w:p w14:paraId="3B40A087" w14:textId="77777777" w:rsidR="00F159BF" w:rsidRPr="00B06206" w:rsidRDefault="00F159BF" w:rsidP="008464EC">
            <w:pPr>
              <w:rPr>
                <w:rFonts w:ascii="Arial" w:hAnsi="Arial"/>
              </w:rPr>
            </w:pPr>
            <w:bookmarkStart w:id="20" w:name="_Hlk77946072"/>
            <w:r w:rsidRPr="00B06206">
              <w:rPr>
                <w:rFonts w:ascii="Arial" w:hAnsi="Arial"/>
              </w:rPr>
              <w:t xml:space="preserve">Finance Committee </w:t>
            </w:r>
          </w:p>
        </w:tc>
      </w:tr>
      <w:tr w:rsidR="00F159BF" w:rsidRPr="008464EC" w14:paraId="55A5244B" w14:textId="77777777" w:rsidTr="00392640">
        <w:trPr>
          <w:trHeight w:val="20"/>
        </w:trPr>
        <w:tc>
          <w:tcPr>
            <w:tcW w:w="2699" w:type="dxa"/>
            <w:shd w:val="clear" w:color="auto" w:fill="DCDDDE"/>
          </w:tcPr>
          <w:p w14:paraId="777F1C82" w14:textId="77777777" w:rsidR="00F159BF" w:rsidRPr="00B06206" w:rsidRDefault="00F159BF" w:rsidP="008464EC">
            <w:pPr>
              <w:rPr>
                <w:rFonts w:ascii="Arial" w:hAnsi="Arial"/>
              </w:rPr>
            </w:pPr>
            <w:r w:rsidRPr="00B06206">
              <w:rPr>
                <w:rFonts w:ascii="Arial" w:hAnsi="Arial"/>
              </w:rPr>
              <w:t>Purpose</w:t>
            </w:r>
          </w:p>
        </w:tc>
        <w:tc>
          <w:tcPr>
            <w:tcW w:w="7229" w:type="dxa"/>
            <w:shd w:val="clear" w:color="auto" w:fill="DCDDDE"/>
          </w:tcPr>
          <w:p w14:paraId="6275A0C2" w14:textId="77777777" w:rsidR="00F159BF" w:rsidRPr="00B06206" w:rsidRDefault="00F159BF" w:rsidP="008464EC">
            <w:pPr>
              <w:rPr>
                <w:rFonts w:ascii="Arial" w:hAnsi="Arial"/>
              </w:rPr>
            </w:pPr>
            <w:r w:rsidRPr="00B06206">
              <w:rPr>
                <w:rFonts w:ascii="Arial" w:hAnsi="Arial"/>
              </w:rPr>
              <w:t>To provide expert financial and budget advice to enable the Director-General, as the Accountable Officer, to discharge the position’s legislated financial management responsibilities.</w:t>
            </w:r>
          </w:p>
        </w:tc>
      </w:tr>
      <w:tr w:rsidR="00F159BF" w:rsidRPr="008464EC" w14:paraId="3DAB33D8" w14:textId="77777777" w:rsidTr="00392640">
        <w:trPr>
          <w:trHeight w:val="20"/>
        </w:trPr>
        <w:tc>
          <w:tcPr>
            <w:tcW w:w="2699" w:type="dxa"/>
          </w:tcPr>
          <w:p w14:paraId="0BF6627D" w14:textId="77777777" w:rsidR="00F159BF" w:rsidRPr="00B06206" w:rsidRDefault="00F159BF" w:rsidP="008464EC">
            <w:pPr>
              <w:rPr>
                <w:rFonts w:ascii="Arial" w:hAnsi="Arial"/>
              </w:rPr>
            </w:pPr>
            <w:r w:rsidRPr="00B06206">
              <w:rPr>
                <w:rFonts w:ascii="Arial" w:hAnsi="Arial"/>
              </w:rPr>
              <w:t>Membership</w:t>
            </w:r>
          </w:p>
        </w:tc>
        <w:tc>
          <w:tcPr>
            <w:tcW w:w="7229" w:type="dxa"/>
          </w:tcPr>
          <w:p w14:paraId="07B529E9" w14:textId="77777777" w:rsidR="00F159BF" w:rsidRPr="00B06206" w:rsidRDefault="00F159BF" w:rsidP="008464EC">
            <w:pPr>
              <w:pStyle w:val="ListBullet"/>
              <w:rPr>
                <w:rFonts w:ascii="Arial" w:hAnsi="Arial"/>
              </w:rPr>
            </w:pPr>
            <w:r w:rsidRPr="00B06206">
              <w:rPr>
                <w:rFonts w:ascii="Arial" w:hAnsi="Arial"/>
              </w:rPr>
              <w:t>Director-General (Chair)</w:t>
            </w:r>
          </w:p>
          <w:p w14:paraId="4C157A0E" w14:textId="77777777" w:rsidR="00F159BF" w:rsidRPr="00B06206" w:rsidRDefault="00F159BF" w:rsidP="008464EC">
            <w:pPr>
              <w:pStyle w:val="ListBullet"/>
              <w:rPr>
                <w:rFonts w:ascii="Arial" w:hAnsi="Arial"/>
              </w:rPr>
            </w:pPr>
            <w:r w:rsidRPr="00B06206">
              <w:rPr>
                <w:rFonts w:ascii="Arial" w:hAnsi="Arial"/>
              </w:rPr>
              <w:t>Associate Director-General, Seniors and Disability Services</w:t>
            </w:r>
          </w:p>
          <w:p w14:paraId="6EF83D94" w14:textId="77777777" w:rsidR="00F159BF" w:rsidRPr="00B06206" w:rsidRDefault="00F159BF" w:rsidP="008464EC">
            <w:pPr>
              <w:pStyle w:val="ListBullet"/>
              <w:rPr>
                <w:rFonts w:ascii="Arial" w:hAnsi="Arial"/>
              </w:rPr>
            </w:pPr>
            <w:r w:rsidRPr="00B06206">
              <w:rPr>
                <w:rFonts w:ascii="Arial" w:hAnsi="Arial"/>
              </w:rPr>
              <w:t>Deputy Director-General, Policy and Corporate Services</w:t>
            </w:r>
          </w:p>
          <w:p w14:paraId="445F5672" w14:textId="77777777" w:rsidR="00F159BF" w:rsidRPr="00B06206" w:rsidRDefault="00F159BF" w:rsidP="008464EC">
            <w:pPr>
              <w:pStyle w:val="ListBullet"/>
              <w:rPr>
                <w:rFonts w:ascii="Arial" w:hAnsi="Arial"/>
              </w:rPr>
            </w:pPr>
            <w:r w:rsidRPr="00B06206">
              <w:rPr>
                <w:rFonts w:ascii="Arial" w:hAnsi="Arial"/>
              </w:rPr>
              <w:t>Deputy Director-General, Culture and Economic Participation</w:t>
            </w:r>
          </w:p>
          <w:p w14:paraId="18841AAC" w14:textId="77777777" w:rsidR="00F159BF" w:rsidRPr="00B06206" w:rsidRDefault="00F159BF" w:rsidP="008464EC">
            <w:pPr>
              <w:pStyle w:val="ListBullet"/>
              <w:rPr>
                <w:rFonts w:ascii="Arial" w:hAnsi="Arial"/>
              </w:rPr>
            </w:pPr>
            <w:r w:rsidRPr="00B06206">
              <w:rPr>
                <w:rFonts w:ascii="Arial" w:hAnsi="Arial"/>
              </w:rPr>
              <w:t>Assistant Director-General, Disability Connect Queensland</w:t>
            </w:r>
          </w:p>
          <w:p w14:paraId="1F00085C" w14:textId="77777777" w:rsidR="00F159BF" w:rsidRPr="00B06206" w:rsidRDefault="00F159BF" w:rsidP="008464EC">
            <w:pPr>
              <w:pStyle w:val="ListBullet"/>
              <w:rPr>
                <w:rFonts w:ascii="Arial" w:hAnsi="Arial"/>
              </w:rPr>
            </w:pPr>
            <w:r w:rsidRPr="00B06206">
              <w:rPr>
                <w:rFonts w:ascii="Arial" w:hAnsi="Arial"/>
              </w:rPr>
              <w:t>Assistant Director-General, Disability Accommodation, Respite and Forensic Services</w:t>
            </w:r>
          </w:p>
          <w:p w14:paraId="5F4D7D06" w14:textId="77777777" w:rsidR="00F159BF" w:rsidRPr="00B06206" w:rsidRDefault="00F159BF" w:rsidP="008464EC">
            <w:pPr>
              <w:pStyle w:val="ListBullet"/>
              <w:rPr>
                <w:rFonts w:ascii="Arial" w:hAnsi="Arial"/>
              </w:rPr>
            </w:pPr>
            <w:r w:rsidRPr="00B06206">
              <w:rPr>
                <w:rFonts w:ascii="Arial" w:hAnsi="Arial"/>
              </w:rPr>
              <w:t>Executive Director, Infrastructure and Coordination</w:t>
            </w:r>
          </w:p>
          <w:p w14:paraId="3AC23396" w14:textId="77777777" w:rsidR="00F159BF" w:rsidRPr="00B06206" w:rsidRDefault="00F159BF" w:rsidP="00E43202">
            <w:pPr>
              <w:pStyle w:val="ListBullet"/>
              <w:spacing w:after="360"/>
              <w:ind w:left="357" w:hanging="357"/>
              <w:contextualSpacing w:val="0"/>
              <w:rPr>
                <w:rFonts w:ascii="Arial" w:hAnsi="Arial"/>
              </w:rPr>
            </w:pPr>
            <w:r w:rsidRPr="00B06206">
              <w:rPr>
                <w:rFonts w:ascii="Arial" w:hAnsi="Arial"/>
              </w:rPr>
              <w:t>Chief Human Resource Officer</w:t>
            </w:r>
          </w:p>
          <w:p w14:paraId="4741C441" w14:textId="458381AA" w:rsidR="00F159BF" w:rsidRPr="00B06206" w:rsidRDefault="00F159BF" w:rsidP="00717304">
            <w:pPr>
              <w:pStyle w:val="ListBullet"/>
              <w:numPr>
                <w:ilvl w:val="0"/>
                <w:numId w:val="0"/>
              </w:numPr>
              <w:rPr>
                <w:rFonts w:ascii="Arial" w:hAnsi="Arial"/>
              </w:rPr>
            </w:pPr>
            <w:r w:rsidRPr="00B06206">
              <w:rPr>
                <w:rFonts w:ascii="Arial" w:hAnsi="Arial"/>
              </w:rPr>
              <w:t>Positions Reporting to the Committee</w:t>
            </w:r>
          </w:p>
          <w:p w14:paraId="4112C562" w14:textId="77777777" w:rsidR="00F159BF" w:rsidRPr="00B06206" w:rsidRDefault="00F159BF" w:rsidP="008464EC">
            <w:pPr>
              <w:pStyle w:val="ListBullet"/>
              <w:rPr>
                <w:rFonts w:ascii="Arial" w:hAnsi="Arial"/>
              </w:rPr>
            </w:pPr>
            <w:r w:rsidRPr="00B06206">
              <w:rPr>
                <w:rFonts w:ascii="Arial" w:hAnsi="Arial"/>
              </w:rPr>
              <w:t>Chief Finance Officer</w:t>
            </w:r>
          </w:p>
          <w:p w14:paraId="4023EF96" w14:textId="5D4C708B" w:rsidR="00F159BF" w:rsidRPr="00B06206" w:rsidRDefault="00F159BF" w:rsidP="008464EC">
            <w:pPr>
              <w:pStyle w:val="ListBullet"/>
              <w:rPr>
                <w:rFonts w:ascii="Arial" w:hAnsi="Arial"/>
              </w:rPr>
            </w:pPr>
            <w:r w:rsidRPr="00B06206">
              <w:rPr>
                <w:rFonts w:ascii="Arial" w:hAnsi="Arial"/>
              </w:rPr>
              <w:t>Director, Financial Management</w:t>
            </w:r>
          </w:p>
        </w:tc>
      </w:tr>
      <w:tr w:rsidR="00F159BF" w:rsidRPr="008464EC" w14:paraId="7D2D8DD5" w14:textId="77777777" w:rsidTr="00392640">
        <w:trPr>
          <w:trHeight w:val="20"/>
        </w:trPr>
        <w:tc>
          <w:tcPr>
            <w:tcW w:w="2699" w:type="dxa"/>
          </w:tcPr>
          <w:p w14:paraId="0E9A435B" w14:textId="77777777" w:rsidR="00F159BF" w:rsidRPr="00B06206" w:rsidRDefault="00F159BF" w:rsidP="008464EC">
            <w:pPr>
              <w:rPr>
                <w:rFonts w:ascii="Arial" w:hAnsi="Arial"/>
              </w:rPr>
            </w:pPr>
            <w:r w:rsidRPr="00B06206">
              <w:rPr>
                <w:rFonts w:ascii="Arial" w:hAnsi="Arial"/>
              </w:rPr>
              <w:t>Meeting frequency</w:t>
            </w:r>
          </w:p>
        </w:tc>
        <w:tc>
          <w:tcPr>
            <w:tcW w:w="7229" w:type="dxa"/>
          </w:tcPr>
          <w:p w14:paraId="048854E5" w14:textId="5886739D" w:rsidR="00F159BF" w:rsidRPr="00B06206" w:rsidRDefault="00F159BF" w:rsidP="008464EC">
            <w:pPr>
              <w:rPr>
                <w:rFonts w:ascii="Arial" w:hAnsi="Arial"/>
              </w:rPr>
            </w:pPr>
            <w:r w:rsidRPr="00B06206">
              <w:rPr>
                <w:rFonts w:ascii="Arial" w:hAnsi="Arial"/>
              </w:rPr>
              <w:t xml:space="preserve">The Finance Committee meets monthly. The Committee met four times from 13 November 2020 to 30 June 2021. </w:t>
            </w:r>
          </w:p>
        </w:tc>
      </w:tr>
    </w:tbl>
    <w:p w14:paraId="7267230D" w14:textId="77777777" w:rsidR="008464EC" w:rsidRDefault="008464EC">
      <w:pPr>
        <w:spacing w:after="0" w:line="240" w:lineRule="auto"/>
      </w:pPr>
      <w:r>
        <w:br w:type="page"/>
      </w: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8464EC" w14:paraId="440AA4AB" w14:textId="77777777" w:rsidTr="00392640">
        <w:trPr>
          <w:trHeight w:val="20"/>
        </w:trPr>
        <w:tc>
          <w:tcPr>
            <w:tcW w:w="9928" w:type="dxa"/>
            <w:gridSpan w:val="2"/>
            <w:tcBorders>
              <w:top w:val="single" w:sz="4" w:space="0" w:color="auto"/>
              <w:left w:val="single" w:sz="4" w:space="0" w:color="auto"/>
              <w:bottom w:val="single" w:sz="4" w:space="0" w:color="auto"/>
              <w:right w:val="single" w:sz="4" w:space="0" w:color="auto"/>
            </w:tcBorders>
            <w:shd w:val="clear" w:color="auto" w:fill="939598"/>
          </w:tcPr>
          <w:p w14:paraId="57A730DE" w14:textId="77777777" w:rsidR="00F159BF" w:rsidRPr="00B06206" w:rsidRDefault="00F159BF" w:rsidP="008464EC">
            <w:pPr>
              <w:rPr>
                <w:rFonts w:ascii="Arial" w:hAnsi="Arial"/>
              </w:rPr>
            </w:pPr>
            <w:bookmarkStart w:id="21" w:name="_Hlk77946201"/>
            <w:bookmarkEnd w:id="20"/>
            <w:r w:rsidRPr="00B06206">
              <w:rPr>
                <w:rFonts w:ascii="Arial" w:hAnsi="Arial"/>
              </w:rPr>
              <w:lastRenderedPageBreak/>
              <w:t xml:space="preserve">Fraud and Corruption Control Sub-Committee </w:t>
            </w:r>
          </w:p>
        </w:tc>
      </w:tr>
      <w:tr w:rsidR="00F159BF" w:rsidRPr="008464EC" w14:paraId="06F76810" w14:textId="77777777" w:rsidTr="00392640">
        <w:trPr>
          <w:trHeight w:val="20"/>
        </w:trPr>
        <w:tc>
          <w:tcPr>
            <w:tcW w:w="2699" w:type="dxa"/>
            <w:tcBorders>
              <w:top w:val="single" w:sz="4" w:space="0" w:color="auto"/>
              <w:left w:val="single" w:sz="4" w:space="0" w:color="auto"/>
              <w:bottom w:val="single" w:sz="4" w:space="0" w:color="auto"/>
              <w:right w:val="single" w:sz="4" w:space="0" w:color="auto"/>
            </w:tcBorders>
            <w:shd w:val="clear" w:color="auto" w:fill="DCDDDE"/>
          </w:tcPr>
          <w:p w14:paraId="675BFCCD" w14:textId="77777777" w:rsidR="00F159BF" w:rsidRPr="00B06206" w:rsidRDefault="00F159BF" w:rsidP="008464EC">
            <w:pPr>
              <w:rPr>
                <w:rFonts w:ascii="Arial" w:hAnsi="Arial"/>
              </w:rPr>
            </w:pPr>
            <w:r w:rsidRPr="00B06206">
              <w:rPr>
                <w:rFonts w:ascii="Arial" w:hAnsi="Arial"/>
              </w:rPr>
              <w:t>Purpose</w:t>
            </w:r>
          </w:p>
        </w:tc>
        <w:tc>
          <w:tcPr>
            <w:tcW w:w="7229" w:type="dxa"/>
            <w:tcBorders>
              <w:top w:val="single" w:sz="4" w:space="0" w:color="auto"/>
              <w:left w:val="single" w:sz="4" w:space="0" w:color="auto"/>
              <w:bottom w:val="single" w:sz="4" w:space="0" w:color="auto"/>
              <w:right w:val="single" w:sz="4" w:space="0" w:color="auto"/>
            </w:tcBorders>
            <w:shd w:val="clear" w:color="auto" w:fill="DCDDDE"/>
          </w:tcPr>
          <w:p w14:paraId="4EFE25A7" w14:textId="77777777" w:rsidR="00F159BF" w:rsidRPr="00B06206" w:rsidRDefault="00F159BF" w:rsidP="008464EC">
            <w:pPr>
              <w:rPr>
                <w:rFonts w:ascii="Arial" w:hAnsi="Arial"/>
              </w:rPr>
            </w:pPr>
            <w:r w:rsidRPr="00B06206">
              <w:rPr>
                <w:rFonts w:ascii="Arial" w:hAnsi="Arial"/>
              </w:rPr>
              <w:t xml:space="preserve">To oversee the department’s fraud and corruption prevention </w:t>
            </w:r>
            <w:proofErr w:type="gramStart"/>
            <w:r w:rsidRPr="00B06206">
              <w:rPr>
                <w:rFonts w:ascii="Arial" w:hAnsi="Arial"/>
              </w:rPr>
              <w:t>programs, and</w:t>
            </w:r>
            <w:proofErr w:type="gramEnd"/>
            <w:r w:rsidRPr="00B06206">
              <w:rPr>
                <w:rFonts w:ascii="Arial" w:hAnsi="Arial"/>
              </w:rPr>
              <w:t xml:space="preserve"> monitor the effectiveness of internal controls and compliance.</w:t>
            </w:r>
          </w:p>
        </w:tc>
      </w:tr>
      <w:tr w:rsidR="00F159BF" w:rsidRPr="008464EC" w14:paraId="26C979AF" w14:textId="77777777" w:rsidTr="00392640">
        <w:trPr>
          <w:trHeight w:val="20"/>
        </w:trPr>
        <w:tc>
          <w:tcPr>
            <w:tcW w:w="2699" w:type="dxa"/>
            <w:tcBorders>
              <w:top w:val="single" w:sz="4" w:space="0" w:color="auto"/>
              <w:left w:val="single" w:sz="4" w:space="0" w:color="auto"/>
              <w:bottom w:val="single" w:sz="4" w:space="0" w:color="auto"/>
              <w:right w:val="single" w:sz="4" w:space="0" w:color="auto"/>
            </w:tcBorders>
          </w:tcPr>
          <w:p w14:paraId="67F90708" w14:textId="77777777" w:rsidR="00F159BF" w:rsidRPr="00B06206" w:rsidRDefault="00F159BF" w:rsidP="008464EC">
            <w:pPr>
              <w:rPr>
                <w:rFonts w:ascii="Arial" w:hAnsi="Arial"/>
              </w:rPr>
            </w:pPr>
            <w:r w:rsidRPr="00B06206">
              <w:rPr>
                <w:rFonts w:ascii="Arial" w:hAnsi="Arial"/>
              </w:rPr>
              <w:t>Membership</w:t>
            </w:r>
          </w:p>
        </w:tc>
        <w:tc>
          <w:tcPr>
            <w:tcW w:w="7229" w:type="dxa"/>
            <w:tcBorders>
              <w:top w:val="single" w:sz="4" w:space="0" w:color="auto"/>
              <w:left w:val="single" w:sz="4" w:space="0" w:color="auto"/>
              <w:bottom w:val="single" w:sz="4" w:space="0" w:color="auto"/>
              <w:right w:val="single" w:sz="4" w:space="0" w:color="auto"/>
            </w:tcBorders>
          </w:tcPr>
          <w:p w14:paraId="3E6661E6" w14:textId="77777777" w:rsidR="00F159BF" w:rsidRPr="00B06206" w:rsidRDefault="00F159BF" w:rsidP="008464EC">
            <w:pPr>
              <w:pStyle w:val="ListBullet"/>
              <w:rPr>
                <w:rFonts w:ascii="Arial" w:hAnsi="Arial"/>
              </w:rPr>
            </w:pPr>
            <w:r w:rsidRPr="00B06206">
              <w:rPr>
                <w:rFonts w:ascii="Arial" w:hAnsi="Arial"/>
              </w:rPr>
              <w:t>Chief Finance Officer (Chair)</w:t>
            </w:r>
          </w:p>
          <w:p w14:paraId="78C68D31" w14:textId="77777777" w:rsidR="00F159BF" w:rsidRPr="00B06206" w:rsidRDefault="00F159BF" w:rsidP="008464EC">
            <w:pPr>
              <w:pStyle w:val="ListBullet"/>
              <w:rPr>
                <w:rFonts w:ascii="Arial" w:hAnsi="Arial"/>
              </w:rPr>
            </w:pPr>
            <w:r w:rsidRPr="00B06206">
              <w:rPr>
                <w:rFonts w:ascii="Arial" w:hAnsi="Arial"/>
              </w:rPr>
              <w:t>Deputy Director-General, Policy and Corporate Services</w:t>
            </w:r>
          </w:p>
          <w:p w14:paraId="74238C6E" w14:textId="77777777" w:rsidR="00F159BF" w:rsidRPr="00B06206" w:rsidRDefault="00F159BF" w:rsidP="008464EC">
            <w:pPr>
              <w:pStyle w:val="ListBullet"/>
              <w:rPr>
                <w:rFonts w:ascii="Arial" w:hAnsi="Arial"/>
              </w:rPr>
            </w:pPr>
            <w:r w:rsidRPr="00B06206">
              <w:rPr>
                <w:rFonts w:ascii="Arial" w:hAnsi="Arial"/>
              </w:rPr>
              <w:t>Executive Director, Culture and Economic Participation</w:t>
            </w:r>
          </w:p>
          <w:p w14:paraId="12CF4D14" w14:textId="77777777" w:rsidR="00F159BF" w:rsidRPr="00B06206" w:rsidRDefault="00F159BF" w:rsidP="008464EC">
            <w:pPr>
              <w:pStyle w:val="ListBullet"/>
              <w:rPr>
                <w:rFonts w:ascii="Arial" w:hAnsi="Arial"/>
              </w:rPr>
            </w:pPr>
            <w:r w:rsidRPr="00B06206">
              <w:rPr>
                <w:rFonts w:ascii="Arial" w:hAnsi="Arial"/>
              </w:rPr>
              <w:t>Director, Accommodation Services and Respite Services Service Support</w:t>
            </w:r>
          </w:p>
          <w:p w14:paraId="35CCA825" w14:textId="77777777" w:rsidR="00F159BF" w:rsidRPr="00B06206" w:rsidRDefault="00F159BF" w:rsidP="008464EC">
            <w:pPr>
              <w:pStyle w:val="ListBullet"/>
              <w:rPr>
                <w:rFonts w:ascii="Arial" w:hAnsi="Arial"/>
              </w:rPr>
            </w:pPr>
            <w:r w:rsidRPr="00B06206">
              <w:rPr>
                <w:rFonts w:ascii="Arial" w:hAnsi="Arial"/>
              </w:rPr>
              <w:t>Director, Property and Procurement</w:t>
            </w:r>
          </w:p>
          <w:p w14:paraId="075B6FE8" w14:textId="77777777" w:rsidR="00F159BF" w:rsidRPr="00B06206" w:rsidRDefault="00F159BF" w:rsidP="008464EC">
            <w:pPr>
              <w:pStyle w:val="ListBullet"/>
              <w:rPr>
                <w:rFonts w:ascii="Arial" w:hAnsi="Arial"/>
              </w:rPr>
            </w:pPr>
            <w:r w:rsidRPr="00B06206">
              <w:rPr>
                <w:rFonts w:ascii="Arial" w:hAnsi="Arial"/>
              </w:rPr>
              <w:t>Director, Royal Commission</w:t>
            </w:r>
          </w:p>
          <w:p w14:paraId="59E0D04D" w14:textId="77777777" w:rsidR="00F159BF" w:rsidRPr="00B06206" w:rsidRDefault="00F159BF" w:rsidP="008464EC">
            <w:pPr>
              <w:pStyle w:val="ListBullet"/>
              <w:rPr>
                <w:rFonts w:ascii="Arial" w:hAnsi="Arial"/>
              </w:rPr>
            </w:pPr>
            <w:r w:rsidRPr="00B06206">
              <w:rPr>
                <w:rFonts w:ascii="Arial" w:hAnsi="Arial"/>
              </w:rPr>
              <w:t>Director, Finance</w:t>
            </w:r>
          </w:p>
          <w:p w14:paraId="20A3FC95" w14:textId="77777777" w:rsidR="00F159BF" w:rsidRPr="00B06206" w:rsidRDefault="00F159BF" w:rsidP="008464EC">
            <w:pPr>
              <w:pStyle w:val="ListBullet"/>
              <w:rPr>
                <w:rFonts w:ascii="Arial" w:hAnsi="Arial"/>
              </w:rPr>
            </w:pPr>
            <w:r w:rsidRPr="00B06206">
              <w:rPr>
                <w:rFonts w:ascii="Arial" w:hAnsi="Arial"/>
              </w:rPr>
              <w:t>Manager, Ethical Standards</w:t>
            </w:r>
          </w:p>
          <w:p w14:paraId="4E1D951A" w14:textId="77777777" w:rsidR="00F159BF" w:rsidRPr="00B06206" w:rsidRDefault="00F159BF" w:rsidP="008464EC">
            <w:pPr>
              <w:pStyle w:val="ListBullet"/>
              <w:rPr>
                <w:rFonts w:ascii="Arial" w:hAnsi="Arial"/>
              </w:rPr>
            </w:pPr>
            <w:r w:rsidRPr="00B06206">
              <w:rPr>
                <w:rFonts w:ascii="Arial" w:hAnsi="Arial"/>
              </w:rPr>
              <w:t>Manager, Governance, Planning and Reporting</w:t>
            </w:r>
          </w:p>
          <w:p w14:paraId="462C2663" w14:textId="71419558" w:rsidR="00F159BF" w:rsidRPr="00B06206" w:rsidRDefault="00F159BF" w:rsidP="008464EC">
            <w:pPr>
              <w:pStyle w:val="ListBullet"/>
              <w:rPr>
                <w:rFonts w:ascii="Arial" w:hAnsi="Arial"/>
              </w:rPr>
            </w:pPr>
            <w:r w:rsidRPr="00B06206">
              <w:rPr>
                <w:rFonts w:ascii="Arial" w:hAnsi="Arial"/>
              </w:rPr>
              <w:t>Director, Information Policy, Security and Engagement (Department of Children, Youth Justice and Multicultural Affairs) (under the MOU agreement)</w:t>
            </w:r>
          </w:p>
        </w:tc>
      </w:tr>
      <w:tr w:rsidR="00F159BF" w:rsidRPr="008464EC" w14:paraId="23C9402A" w14:textId="77777777" w:rsidTr="00392640">
        <w:trPr>
          <w:trHeight w:val="20"/>
        </w:trPr>
        <w:tc>
          <w:tcPr>
            <w:tcW w:w="2699" w:type="dxa"/>
            <w:tcBorders>
              <w:top w:val="single" w:sz="4" w:space="0" w:color="auto"/>
              <w:left w:val="single" w:sz="4" w:space="0" w:color="auto"/>
              <w:bottom w:val="single" w:sz="4" w:space="0" w:color="auto"/>
              <w:right w:val="single" w:sz="4" w:space="0" w:color="auto"/>
            </w:tcBorders>
          </w:tcPr>
          <w:p w14:paraId="3D7AA9A1" w14:textId="77777777" w:rsidR="00F159BF" w:rsidRPr="00B06206" w:rsidRDefault="00F159BF" w:rsidP="008464EC">
            <w:pPr>
              <w:rPr>
                <w:rFonts w:ascii="Arial" w:hAnsi="Arial"/>
              </w:rPr>
            </w:pPr>
            <w:r w:rsidRPr="00B06206">
              <w:rPr>
                <w:rFonts w:ascii="Arial" w:hAnsi="Arial"/>
              </w:rPr>
              <w:t>Meeting frequency</w:t>
            </w:r>
          </w:p>
        </w:tc>
        <w:tc>
          <w:tcPr>
            <w:tcW w:w="7229" w:type="dxa"/>
            <w:tcBorders>
              <w:top w:val="single" w:sz="4" w:space="0" w:color="auto"/>
              <w:left w:val="single" w:sz="4" w:space="0" w:color="auto"/>
              <w:bottom w:val="single" w:sz="4" w:space="0" w:color="auto"/>
              <w:right w:val="single" w:sz="4" w:space="0" w:color="auto"/>
            </w:tcBorders>
          </w:tcPr>
          <w:p w14:paraId="7625D0D4" w14:textId="7160D75E" w:rsidR="00F159BF" w:rsidRPr="00B06206" w:rsidRDefault="00F159BF" w:rsidP="008464EC">
            <w:pPr>
              <w:rPr>
                <w:rFonts w:ascii="Arial" w:hAnsi="Arial"/>
              </w:rPr>
            </w:pPr>
            <w:r w:rsidRPr="00B06206">
              <w:rPr>
                <w:rFonts w:ascii="Arial" w:hAnsi="Arial"/>
              </w:rPr>
              <w:t xml:space="preserve">The Fraud and Corruption Control Sub-Committee meets quarterly. The Committee met </w:t>
            </w:r>
            <w:r w:rsidR="003C7A49" w:rsidRPr="00B06206">
              <w:rPr>
                <w:rFonts w:ascii="Arial" w:hAnsi="Arial"/>
              </w:rPr>
              <w:t>on</w:t>
            </w:r>
            <w:r w:rsidR="00C35056">
              <w:rPr>
                <w:rFonts w:ascii="Arial" w:hAnsi="Arial"/>
              </w:rPr>
              <w:t>ce</w:t>
            </w:r>
            <w:r w:rsidRPr="00B06206">
              <w:rPr>
                <w:rFonts w:ascii="Arial" w:hAnsi="Arial"/>
              </w:rPr>
              <w:t xml:space="preserve"> from 13 November 2020 to 30 June 2021</w:t>
            </w:r>
            <w:r w:rsidR="00A43701" w:rsidRPr="00B06206">
              <w:rPr>
                <w:rFonts w:ascii="Arial" w:hAnsi="Arial"/>
              </w:rPr>
              <w:t xml:space="preserve"> due to the changes in the membership of the Sub-Committee as a direct result of the Machinery of Government and the availability of the members to convene for meeting during this period</w:t>
            </w:r>
            <w:r w:rsidRPr="00B06206">
              <w:rPr>
                <w:rFonts w:ascii="Arial" w:hAnsi="Arial"/>
              </w:rPr>
              <w:t xml:space="preserve">. </w:t>
            </w:r>
          </w:p>
        </w:tc>
      </w:tr>
      <w:bookmarkEnd w:id="21"/>
    </w:tbl>
    <w:p w14:paraId="2A37DBF6" w14:textId="3BFE4229" w:rsidR="00F159BF" w:rsidRPr="00E4449B" w:rsidRDefault="00F159BF"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F4766F" w14:paraId="4F368859" w14:textId="77777777" w:rsidTr="00392640">
        <w:trPr>
          <w:trHeight w:val="20"/>
        </w:trPr>
        <w:tc>
          <w:tcPr>
            <w:tcW w:w="9928" w:type="dxa"/>
            <w:gridSpan w:val="2"/>
            <w:shd w:val="clear" w:color="auto" w:fill="939598"/>
          </w:tcPr>
          <w:p w14:paraId="01810F59" w14:textId="77777777" w:rsidR="00F159BF" w:rsidRPr="00B06206" w:rsidRDefault="00F159BF" w:rsidP="00F4766F">
            <w:pPr>
              <w:rPr>
                <w:rFonts w:ascii="Arial" w:hAnsi="Arial"/>
              </w:rPr>
            </w:pPr>
            <w:r w:rsidRPr="00B06206">
              <w:rPr>
                <w:rFonts w:ascii="Arial" w:hAnsi="Arial"/>
              </w:rPr>
              <w:t xml:space="preserve">Information Steering Committee </w:t>
            </w:r>
          </w:p>
        </w:tc>
      </w:tr>
      <w:tr w:rsidR="00F159BF" w:rsidRPr="00F4766F" w14:paraId="03FC6F16" w14:textId="77777777" w:rsidTr="00392640">
        <w:trPr>
          <w:trHeight w:val="20"/>
        </w:trPr>
        <w:tc>
          <w:tcPr>
            <w:tcW w:w="2699" w:type="dxa"/>
            <w:shd w:val="clear" w:color="auto" w:fill="DCDDDE"/>
          </w:tcPr>
          <w:p w14:paraId="7A198EF4" w14:textId="77777777" w:rsidR="00F159BF" w:rsidRPr="00F4766F" w:rsidRDefault="00F159BF" w:rsidP="00F4766F">
            <w:r w:rsidRPr="00F4766F">
              <w:t>Purpose</w:t>
            </w:r>
          </w:p>
        </w:tc>
        <w:tc>
          <w:tcPr>
            <w:tcW w:w="7229" w:type="dxa"/>
            <w:shd w:val="clear" w:color="auto" w:fill="DCDDDE"/>
          </w:tcPr>
          <w:p w14:paraId="418E1D07" w14:textId="77777777" w:rsidR="00F159BF" w:rsidRPr="00B06206" w:rsidRDefault="00F159BF" w:rsidP="00F4766F">
            <w:pPr>
              <w:rPr>
                <w:rFonts w:ascii="Arial" w:hAnsi="Arial"/>
              </w:rPr>
            </w:pPr>
            <w:r w:rsidRPr="00B06206">
              <w:rPr>
                <w:rFonts w:ascii="Arial" w:hAnsi="Arial"/>
              </w:rPr>
              <w:t>To provide strategic direction on information management to the department and ensure that the investments in new information management and ICT projects are aligned with departmental and whole- of-government priorities.</w:t>
            </w:r>
          </w:p>
        </w:tc>
      </w:tr>
      <w:tr w:rsidR="00F159BF" w:rsidRPr="00F4766F" w14:paraId="75F282FF" w14:textId="77777777" w:rsidTr="00392640">
        <w:trPr>
          <w:trHeight w:val="20"/>
        </w:trPr>
        <w:tc>
          <w:tcPr>
            <w:tcW w:w="2699" w:type="dxa"/>
          </w:tcPr>
          <w:p w14:paraId="2047B342" w14:textId="77777777" w:rsidR="00F159BF" w:rsidRPr="00F4766F" w:rsidRDefault="00F159BF" w:rsidP="00F4766F">
            <w:r w:rsidRPr="00F4766F">
              <w:t>Membership</w:t>
            </w:r>
          </w:p>
        </w:tc>
        <w:tc>
          <w:tcPr>
            <w:tcW w:w="7229" w:type="dxa"/>
          </w:tcPr>
          <w:p w14:paraId="24F84E3B" w14:textId="77777777" w:rsidR="00F159BF" w:rsidRPr="00B06206" w:rsidRDefault="00F159BF" w:rsidP="00F4766F">
            <w:pPr>
              <w:pStyle w:val="ListBullet"/>
              <w:rPr>
                <w:rFonts w:ascii="Arial" w:hAnsi="Arial"/>
              </w:rPr>
            </w:pPr>
            <w:r w:rsidRPr="00B06206">
              <w:rPr>
                <w:rFonts w:ascii="Arial" w:hAnsi="Arial"/>
              </w:rPr>
              <w:t>Deputy Director-General, Policy and Corporate Services (Chair)</w:t>
            </w:r>
          </w:p>
          <w:p w14:paraId="64DDFF2E" w14:textId="77777777" w:rsidR="00F159BF" w:rsidRPr="00B06206" w:rsidRDefault="00F159BF" w:rsidP="00F4766F">
            <w:pPr>
              <w:pStyle w:val="ListBullet"/>
              <w:rPr>
                <w:rFonts w:ascii="Arial" w:hAnsi="Arial"/>
              </w:rPr>
            </w:pPr>
            <w:r w:rsidRPr="00B06206">
              <w:rPr>
                <w:rFonts w:ascii="Arial" w:hAnsi="Arial"/>
              </w:rPr>
              <w:t>Deputy Director-General, Culture and Economic Participation</w:t>
            </w:r>
          </w:p>
          <w:p w14:paraId="33936812" w14:textId="77777777" w:rsidR="00F159BF" w:rsidRPr="00B06206" w:rsidRDefault="00F159BF" w:rsidP="00F4766F">
            <w:pPr>
              <w:pStyle w:val="ListBullet"/>
              <w:rPr>
                <w:rFonts w:ascii="Arial" w:hAnsi="Arial"/>
              </w:rPr>
            </w:pPr>
            <w:r w:rsidRPr="00B06206">
              <w:rPr>
                <w:rFonts w:ascii="Arial" w:hAnsi="Arial"/>
              </w:rPr>
              <w:t>Assistant Director-General Disability and Seniors Connect</w:t>
            </w:r>
          </w:p>
          <w:p w14:paraId="390C44A5" w14:textId="77777777" w:rsidR="00F159BF" w:rsidRPr="00B06206" w:rsidRDefault="00F159BF" w:rsidP="00F4766F">
            <w:pPr>
              <w:pStyle w:val="ListBullet"/>
              <w:rPr>
                <w:rFonts w:ascii="Arial" w:hAnsi="Arial"/>
              </w:rPr>
            </w:pPr>
            <w:r w:rsidRPr="00B06206">
              <w:rPr>
                <w:rFonts w:ascii="Arial" w:hAnsi="Arial"/>
              </w:rPr>
              <w:t>Executive Director Strategic Policy &amp; Legislation – Seniors and Disability Services</w:t>
            </w:r>
          </w:p>
          <w:p w14:paraId="6602CDAA" w14:textId="696F6CDC" w:rsidR="001868ED" w:rsidRPr="00B06206" w:rsidRDefault="00F159BF" w:rsidP="00DF0A4A">
            <w:pPr>
              <w:pStyle w:val="ListBullet"/>
              <w:spacing w:after="360"/>
              <w:ind w:left="357" w:hanging="357"/>
              <w:contextualSpacing w:val="0"/>
              <w:rPr>
                <w:rFonts w:ascii="Arial" w:hAnsi="Arial"/>
              </w:rPr>
            </w:pPr>
            <w:r w:rsidRPr="00B06206">
              <w:rPr>
                <w:rFonts w:ascii="Arial" w:hAnsi="Arial"/>
              </w:rPr>
              <w:t>Chief Finance Officer</w:t>
            </w:r>
          </w:p>
          <w:p w14:paraId="1E6A8CFF" w14:textId="1B8F5D81" w:rsidR="00F159BF" w:rsidRPr="00B06206" w:rsidRDefault="00F159BF" w:rsidP="001868ED">
            <w:pPr>
              <w:pStyle w:val="ListBullet"/>
              <w:numPr>
                <w:ilvl w:val="0"/>
                <w:numId w:val="0"/>
              </w:numPr>
              <w:rPr>
                <w:rFonts w:ascii="Arial" w:hAnsi="Arial"/>
              </w:rPr>
            </w:pPr>
            <w:r w:rsidRPr="00B06206">
              <w:rPr>
                <w:rFonts w:ascii="Arial" w:hAnsi="Arial"/>
              </w:rPr>
              <w:t>Non-Voting Members</w:t>
            </w:r>
          </w:p>
          <w:p w14:paraId="78AFDEE9" w14:textId="77777777" w:rsidR="00F159BF" w:rsidRPr="00B06206" w:rsidRDefault="00F159BF" w:rsidP="00F4766F">
            <w:pPr>
              <w:pStyle w:val="ListBullet"/>
              <w:rPr>
                <w:rFonts w:ascii="Arial" w:hAnsi="Arial"/>
              </w:rPr>
            </w:pPr>
            <w:r w:rsidRPr="00B06206">
              <w:rPr>
                <w:rFonts w:ascii="Arial" w:hAnsi="Arial"/>
              </w:rPr>
              <w:t xml:space="preserve">Queensland Government CISO, Queensland Government Customer and Digital Group, Department of Communities, Housing and Digital Economy </w:t>
            </w:r>
          </w:p>
          <w:p w14:paraId="0E078D67" w14:textId="77777777" w:rsidR="00F159BF" w:rsidRPr="00B06206" w:rsidRDefault="00F159BF" w:rsidP="00F4766F">
            <w:pPr>
              <w:pStyle w:val="ListBullet"/>
              <w:rPr>
                <w:rFonts w:ascii="Arial" w:hAnsi="Arial"/>
              </w:rPr>
            </w:pPr>
            <w:r w:rsidRPr="00B06206">
              <w:rPr>
                <w:rFonts w:ascii="Arial" w:hAnsi="Arial"/>
              </w:rPr>
              <w:t>Deputy Director-General, CIO, Corporate Services, DCYJMA</w:t>
            </w:r>
          </w:p>
          <w:p w14:paraId="52C86C87" w14:textId="77777777" w:rsidR="00F159BF" w:rsidRPr="00B06206" w:rsidRDefault="00F159BF" w:rsidP="00F4766F">
            <w:pPr>
              <w:pStyle w:val="ListBullet"/>
              <w:rPr>
                <w:rFonts w:ascii="Arial" w:hAnsi="Arial"/>
              </w:rPr>
            </w:pPr>
            <w:r w:rsidRPr="00B06206">
              <w:rPr>
                <w:rFonts w:ascii="Arial" w:hAnsi="Arial"/>
              </w:rPr>
              <w:t>Chief Human Resource Officer</w:t>
            </w:r>
          </w:p>
          <w:p w14:paraId="6DF85527" w14:textId="77777777" w:rsidR="00F159BF" w:rsidRPr="00B06206" w:rsidRDefault="00F159BF" w:rsidP="00F4766F">
            <w:pPr>
              <w:pStyle w:val="ListBullet"/>
              <w:rPr>
                <w:rFonts w:ascii="Arial" w:hAnsi="Arial"/>
              </w:rPr>
            </w:pPr>
            <w:r w:rsidRPr="00B06206">
              <w:rPr>
                <w:rFonts w:ascii="Arial" w:hAnsi="Arial"/>
              </w:rPr>
              <w:t>Secretariat: Manager, ICT</w:t>
            </w:r>
          </w:p>
          <w:p w14:paraId="6AE79866" w14:textId="77777777" w:rsidR="00F159BF" w:rsidRPr="00B06206" w:rsidRDefault="00F159BF" w:rsidP="00F4766F">
            <w:pPr>
              <w:pStyle w:val="ListBullet"/>
              <w:rPr>
                <w:rFonts w:ascii="Arial" w:hAnsi="Arial"/>
              </w:rPr>
            </w:pPr>
            <w:r w:rsidRPr="00B06206">
              <w:rPr>
                <w:rFonts w:ascii="Arial" w:hAnsi="Arial"/>
              </w:rPr>
              <w:t xml:space="preserve">Director internal Audit </w:t>
            </w:r>
          </w:p>
          <w:p w14:paraId="797E1B84" w14:textId="51CB16DA" w:rsidR="00F159BF" w:rsidRPr="00B06206" w:rsidRDefault="00F159BF" w:rsidP="00F4766F">
            <w:pPr>
              <w:pStyle w:val="ListBullet"/>
              <w:rPr>
                <w:rFonts w:ascii="Arial" w:hAnsi="Arial"/>
              </w:rPr>
            </w:pPr>
            <w:r w:rsidRPr="00B06206">
              <w:rPr>
                <w:rFonts w:ascii="Arial" w:hAnsi="Arial"/>
              </w:rPr>
              <w:t>Director Policy, Security and Engagement Information Services (MOU CYJMA)</w:t>
            </w:r>
          </w:p>
        </w:tc>
      </w:tr>
      <w:tr w:rsidR="00F159BF" w:rsidRPr="00F4766F" w14:paraId="315B790C" w14:textId="77777777" w:rsidTr="00392640">
        <w:trPr>
          <w:trHeight w:val="20"/>
        </w:trPr>
        <w:tc>
          <w:tcPr>
            <w:tcW w:w="2699" w:type="dxa"/>
          </w:tcPr>
          <w:p w14:paraId="39C63E82" w14:textId="77777777" w:rsidR="00F159BF" w:rsidRPr="00F4766F" w:rsidRDefault="00F159BF" w:rsidP="00F4766F">
            <w:r w:rsidRPr="00F4766F">
              <w:t>Meeting frequency</w:t>
            </w:r>
          </w:p>
        </w:tc>
        <w:tc>
          <w:tcPr>
            <w:tcW w:w="7229" w:type="dxa"/>
          </w:tcPr>
          <w:p w14:paraId="7E201F3E" w14:textId="773882E2" w:rsidR="00F159BF" w:rsidRPr="00B06206" w:rsidRDefault="00F159BF" w:rsidP="00F4766F">
            <w:pPr>
              <w:rPr>
                <w:rFonts w:ascii="Arial" w:hAnsi="Arial"/>
              </w:rPr>
            </w:pPr>
            <w:r w:rsidRPr="00B06206">
              <w:rPr>
                <w:rFonts w:ascii="Arial" w:hAnsi="Arial"/>
              </w:rPr>
              <w:t>The Information Steering Committee meets bi-monthly. The Committee met during the reporting period</w:t>
            </w:r>
            <w:r w:rsidR="000259D5" w:rsidRPr="00B06206">
              <w:rPr>
                <w:rFonts w:ascii="Arial" w:hAnsi="Arial"/>
              </w:rPr>
              <w:t xml:space="preserve"> to allow for the finalisation of a Memorandum of Understanding for the delivery of corporate services including information technology.  </w:t>
            </w:r>
            <w:r w:rsidRPr="00B06206">
              <w:rPr>
                <w:rFonts w:ascii="Arial" w:hAnsi="Arial"/>
              </w:rPr>
              <w:t xml:space="preserve">  </w:t>
            </w:r>
          </w:p>
        </w:tc>
      </w:tr>
    </w:tbl>
    <w:p w14:paraId="044D536C" w14:textId="77777777" w:rsidR="00CA0481" w:rsidRPr="00E4449B" w:rsidRDefault="00CA0481"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633348" w14:paraId="04DA99B6" w14:textId="77777777" w:rsidTr="00392640">
        <w:trPr>
          <w:trHeight w:val="20"/>
        </w:trPr>
        <w:tc>
          <w:tcPr>
            <w:tcW w:w="9928" w:type="dxa"/>
            <w:gridSpan w:val="2"/>
            <w:shd w:val="clear" w:color="auto" w:fill="939598"/>
          </w:tcPr>
          <w:p w14:paraId="56834428" w14:textId="77777777" w:rsidR="00F159BF" w:rsidRPr="00B06206" w:rsidRDefault="00F159BF" w:rsidP="00633348">
            <w:pPr>
              <w:rPr>
                <w:rFonts w:ascii="Arial" w:hAnsi="Arial"/>
              </w:rPr>
            </w:pPr>
            <w:bookmarkStart w:id="22" w:name="_Hlk77946641"/>
            <w:r w:rsidRPr="00B06206">
              <w:rPr>
                <w:rFonts w:ascii="Arial" w:hAnsi="Arial"/>
              </w:rPr>
              <w:lastRenderedPageBreak/>
              <w:t xml:space="preserve">Priority Projects Oversight Group </w:t>
            </w:r>
          </w:p>
        </w:tc>
      </w:tr>
      <w:tr w:rsidR="00F159BF" w:rsidRPr="00633348" w14:paraId="1D78F58D" w14:textId="77777777" w:rsidTr="00392640">
        <w:trPr>
          <w:trHeight w:val="20"/>
        </w:trPr>
        <w:tc>
          <w:tcPr>
            <w:tcW w:w="2699" w:type="dxa"/>
            <w:shd w:val="clear" w:color="auto" w:fill="DCDDDE"/>
          </w:tcPr>
          <w:p w14:paraId="5147932A" w14:textId="77777777" w:rsidR="00F159BF" w:rsidRPr="00B06206" w:rsidRDefault="00F159BF" w:rsidP="00633348">
            <w:pPr>
              <w:rPr>
                <w:rFonts w:ascii="Arial" w:hAnsi="Arial"/>
              </w:rPr>
            </w:pPr>
            <w:r w:rsidRPr="00B06206">
              <w:rPr>
                <w:rFonts w:ascii="Arial" w:hAnsi="Arial"/>
              </w:rPr>
              <w:t>Purpose</w:t>
            </w:r>
          </w:p>
        </w:tc>
        <w:tc>
          <w:tcPr>
            <w:tcW w:w="7229" w:type="dxa"/>
            <w:shd w:val="clear" w:color="auto" w:fill="DCDDDE"/>
          </w:tcPr>
          <w:p w14:paraId="41E58700" w14:textId="77777777" w:rsidR="00F159BF" w:rsidRPr="00B06206" w:rsidRDefault="00F159BF" w:rsidP="00633348">
            <w:pPr>
              <w:rPr>
                <w:rFonts w:ascii="Arial" w:hAnsi="Arial"/>
              </w:rPr>
            </w:pPr>
            <w:r w:rsidRPr="00B06206">
              <w:rPr>
                <w:rFonts w:ascii="Arial" w:hAnsi="Arial"/>
              </w:rPr>
              <w:t>To provide oversight and strategic leadership of the implementation of priority projects (</w:t>
            </w:r>
            <w:proofErr w:type="spellStart"/>
            <w:r w:rsidRPr="00B06206">
              <w:rPr>
                <w:rFonts w:ascii="Arial" w:hAnsi="Arial"/>
              </w:rPr>
              <w:t>ie</w:t>
            </w:r>
            <w:proofErr w:type="spellEnd"/>
            <w:r w:rsidRPr="00B06206">
              <w:rPr>
                <w:rFonts w:ascii="Arial" w:hAnsi="Arial"/>
              </w:rPr>
              <w:t xml:space="preserve"> key time-limited initiatives) and oversight of key whole-of-government priorities. </w:t>
            </w:r>
          </w:p>
        </w:tc>
      </w:tr>
      <w:tr w:rsidR="00F159BF" w:rsidRPr="00633348" w14:paraId="61B558E9" w14:textId="77777777" w:rsidTr="00392640">
        <w:trPr>
          <w:trHeight w:val="20"/>
        </w:trPr>
        <w:tc>
          <w:tcPr>
            <w:tcW w:w="2699" w:type="dxa"/>
          </w:tcPr>
          <w:p w14:paraId="3972324D" w14:textId="77777777" w:rsidR="00F159BF" w:rsidRPr="00B06206" w:rsidRDefault="00F159BF" w:rsidP="00633348">
            <w:pPr>
              <w:rPr>
                <w:rFonts w:ascii="Arial" w:hAnsi="Arial"/>
              </w:rPr>
            </w:pPr>
            <w:r w:rsidRPr="00B06206">
              <w:rPr>
                <w:rFonts w:ascii="Arial" w:hAnsi="Arial"/>
              </w:rPr>
              <w:t>Membership</w:t>
            </w:r>
          </w:p>
        </w:tc>
        <w:tc>
          <w:tcPr>
            <w:tcW w:w="7229" w:type="dxa"/>
          </w:tcPr>
          <w:p w14:paraId="48953E83" w14:textId="77777777" w:rsidR="00F159BF" w:rsidRPr="00B06206" w:rsidRDefault="00F159BF" w:rsidP="00633348">
            <w:pPr>
              <w:pStyle w:val="ListBullet"/>
              <w:rPr>
                <w:rFonts w:ascii="Arial" w:hAnsi="Arial"/>
              </w:rPr>
            </w:pPr>
            <w:r w:rsidRPr="00B06206">
              <w:rPr>
                <w:rFonts w:ascii="Arial" w:hAnsi="Arial"/>
              </w:rPr>
              <w:t>Director-General (Special invitee)</w:t>
            </w:r>
          </w:p>
          <w:p w14:paraId="208BFC56" w14:textId="77777777" w:rsidR="00F159BF" w:rsidRPr="00B06206" w:rsidRDefault="00F159BF" w:rsidP="00633348">
            <w:pPr>
              <w:pStyle w:val="ListBullet"/>
              <w:rPr>
                <w:rFonts w:ascii="Arial" w:hAnsi="Arial"/>
              </w:rPr>
            </w:pPr>
            <w:r w:rsidRPr="00B06206">
              <w:rPr>
                <w:rFonts w:ascii="Arial" w:hAnsi="Arial"/>
              </w:rPr>
              <w:t>Associate Director-General, Seniors and Disability Services (Chair)</w:t>
            </w:r>
          </w:p>
          <w:p w14:paraId="355C336E" w14:textId="77777777" w:rsidR="00F159BF" w:rsidRPr="00B06206" w:rsidRDefault="00F159BF" w:rsidP="00633348">
            <w:pPr>
              <w:pStyle w:val="ListBullet"/>
              <w:rPr>
                <w:rFonts w:ascii="Arial" w:hAnsi="Arial"/>
              </w:rPr>
            </w:pPr>
            <w:r w:rsidRPr="00B06206">
              <w:rPr>
                <w:rFonts w:ascii="Arial" w:hAnsi="Arial"/>
              </w:rPr>
              <w:t>Deputy Director-General, Culture and Economic Participation</w:t>
            </w:r>
          </w:p>
          <w:p w14:paraId="2D2DC1AD" w14:textId="77777777" w:rsidR="00F159BF" w:rsidRPr="00B06206" w:rsidRDefault="00F159BF" w:rsidP="00633348">
            <w:pPr>
              <w:pStyle w:val="ListBullet"/>
              <w:rPr>
                <w:rFonts w:ascii="Arial" w:hAnsi="Arial"/>
              </w:rPr>
            </w:pPr>
            <w:r w:rsidRPr="00B06206">
              <w:rPr>
                <w:rFonts w:ascii="Arial" w:hAnsi="Arial"/>
              </w:rPr>
              <w:t>Assistant Director-General, Disability Connect Queensland</w:t>
            </w:r>
          </w:p>
          <w:p w14:paraId="4F6BE4F6" w14:textId="77777777" w:rsidR="00F159BF" w:rsidRPr="00B06206" w:rsidRDefault="00F159BF" w:rsidP="00633348">
            <w:pPr>
              <w:pStyle w:val="ListBullet"/>
              <w:rPr>
                <w:rFonts w:ascii="Arial" w:hAnsi="Arial"/>
              </w:rPr>
            </w:pPr>
            <w:r w:rsidRPr="00B06206">
              <w:rPr>
                <w:rFonts w:ascii="Arial" w:hAnsi="Arial"/>
              </w:rPr>
              <w:t>Assistant Director-General, Disability Accommodation, Respite and Forensic Services</w:t>
            </w:r>
          </w:p>
          <w:p w14:paraId="793B8668" w14:textId="77777777" w:rsidR="00F159BF" w:rsidRPr="00B06206" w:rsidRDefault="00F159BF" w:rsidP="00633348">
            <w:pPr>
              <w:pStyle w:val="ListBullet"/>
              <w:rPr>
                <w:rFonts w:ascii="Arial" w:hAnsi="Arial"/>
              </w:rPr>
            </w:pPr>
            <w:r w:rsidRPr="00B06206">
              <w:rPr>
                <w:rFonts w:ascii="Arial" w:hAnsi="Arial"/>
              </w:rPr>
              <w:t>Executive Director, Local Thriving Communities</w:t>
            </w:r>
          </w:p>
          <w:p w14:paraId="7BA04A33" w14:textId="031DDCF1" w:rsidR="00F159BF" w:rsidRPr="00B06206" w:rsidRDefault="00F159BF" w:rsidP="00633348">
            <w:pPr>
              <w:pStyle w:val="ListBullet"/>
              <w:rPr>
                <w:rFonts w:ascii="Arial" w:hAnsi="Arial"/>
              </w:rPr>
            </w:pPr>
            <w:r w:rsidRPr="00B06206">
              <w:rPr>
                <w:rFonts w:ascii="Arial" w:hAnsi="Arial"/>
              </w:rPr>
              <w:t>Executive Director, Strategic Policy and Legislation (A</w:t>
            </w:r>
            <w:r w:rsidR="00A434D4" w:rsidRPr="00B06206">
              <w:rPr>
                <w:rFonts w:ascii="Arial" w:hAnsi="Arial"/>
              </w:rPr>
              <w:t xml:space="preserve">boriginal and </w:t>
            </w:r>
            <w:r w:rsidRPr="00B06206">
              <w:rPr>
                <w:rFonts w:ascii="Arial" w:hAnsi="Arial"/>
              </w:rPr>
              <w:t>T</w:t>
            </w:r>
            <w:r w:rsidR="00A434D4" w:rsidRPr="00B06206">
              <w:rPr>
                <w:rFonts w:ascii="Arial" w:hAnsi="Arial"/>
              </w:rPr>
              <w:t xml:space="preserve">orres </w:t>
            </w:r>
            <w:r w:rsidRPr="00B06206">
              <w:rPr>
                <w:rFonts w:ascii="Arial" w:hAnsi="Arial"/>
              </w:rPr>
              <w:t>S</w:t>
            </w:r>
            <w:r w:rsidR="00A434D4" w:rsidRPr="00B06206">
              <w:rPr>
                <w:rFonts w:ascii="Arial" w:hAnsi="Arial"/>
              </w:rPr>
              <w:t xml:space="preserve">trait </w:t>
            </w:r>
            <w:r w:rsidRPr="00B06206">
              <w:rPr>
                <w:rFonts w:ascii="Arial" w:hAnsi="Arial"/>
              </w:rPr>
              <w:t>I</w:t>
            </w:r>
            <w:r w:rsidR="00A434D4" w:rsidRPr="00B06206">
              <w:rPr>
                <w:rFonts w:ascii="Arial" w:hAnsi="Arial"/>
              </w:rPr>
              <w:t>slander Partnerships</w:t>
            </w:r>
            <w:r w:rsidRPr="00B06206">
              <w:rPr>
                <w:rFonts w:ascii="Arial" w:hAnsi="Arial"/>
              </w:rPr>
              <w:t>)</w:t>
            </w:r>
          </w:p>
          <w:p w14:paraId="4F4B81A2" w14:textId="6268A8FC" w:rsidR="00F159BF" w:rsidRPr="00B06206" w:rsidRDefault="00F159BF" w:rsidP="00633348">
            <w:pPr>
              <w:pStyle w:val="ListBullet"/>
              <w:rPr>
                <w:rFonts w:ascii="Arial" w:hAnsi="Arial"/>
              </w:rPr>
            </w:pPr>
            <w:r w:rsidRPr="00B06206">
              <w:rPr>
                <w:rFonts w:ascii="Arial" w:hAnsi="Arial"/>
              </w:rPr>
              <w:t>Executive Director, Strategic Policy and Legislation (S</w:t>
            </w:r>
            <w:r w:rsidR="00A434D4" w:rsidRPr="00B06206">
              <w:rPr>
                <w:rFonts w:ascii="Arial" w:hAnsi="Arial"/>
              </w:rPr>
              <w:t xml:space="preserve">eniors and </w:t>
            </w:r>
            <w:r w:rsidRPr="00B06206">
              <w:rPr>
                <w:rFonts w:ascii="Arial" w:hAnsi="Arial"/>
              </w:rPr>
              <w:t>D</w:t>
            </w:r>
            <w:r w:rsidR="00A434D4" w:rsidRPr="00B06206">
              <w:rPr>
                <w:rFonts w:ascii="Arial" w:hAnsi="Arial"/>
              </w:rPr>
              <w:t xml:space="preserve">isability </w:t>
            </w:r>
            <w:r w:rsidRPr="00B06206">
              <w:rPr>
                <w:rFonts w:ascii="Arial" w:hAnsi="Arial"/>
              </w:rPr>
              <w:t>S</w:t>
            </w:r>
            <w:r w:rsidR="00A434D4" w:rsidRPr="00B06206">
              <w:rPr>
                <w:rFonts w:ascii="Arial" w:hAnsi="Arial"/>
              </w:rPr>
              <w:t>ervices</w:t>
            </w:r>
            <w:r w:rsidRPr="00B06206">
              <w:rPr>
                <w:rFonts w:ascii="Arial" w:hAnsi="Arial"/>
              </w:rPr>
              <w:t>)</w:t>
            </w:r>
          </w:p>
          <w:p w14:paraId="1EB90E7A" w14:textId="77777777" w:rsidR="00F159BF" w:rsidRPr="00B06206" w:rsidRDefault="00F159BF" w:rsidP="00633348">
            <w:pPr>
              <w:pStyle w:val="ListBullet"/>
              <w:rPr>
                <w:rFonts w:ascii="Arial" w:hAnsi="Arial"/>
              </w:rPr>
            </w:pPr>
            <w:r w:rsidRPr="00B06206">
              <w:rPr>
                <w:rFonts w:ascii="Arial" w:hAnsi="Arial"/>
              </w:rPr>
              <w:t>Chief Human Resource Officer</w:t>
            </w:r>
          </w:p>
          <w:p w14:paraId="3C6D2401" w14:textId="77777777" w:rsidR="00F159BF" w:rsidRPr="00B06206" w:rsidRDefault="00F159BF" w:rsidP="00633348">
            <w:pPr>
              <w:pStyle w:val="ListBullet"/>
              <w:rPr>
                <w:rFonts w:ascii="Arial" w:hAnsi="Arial"/>
              </w:rPr>
            </w:pPr>
            <w:r w:rsidRPr="00B06206">
              <w:rPr>
                <w:rFonts w:ascii="Arial" w:hAnsi="Arial"/>
              </w:rPr>
              <w:t>Chief Finance Officer</w:t>
            </w:r>
          </w:p>
          <w:p w14:paraId="16CA15DC" w14:textId="4C5CD5F6" w:rsidR="00F159BF" w:rsidRPr="00B06206" w:rsidRDefault="00F159BF" w:rsidP="00633348">
            <w:pPr>
              <w:pStyle w:val="ListBullet"/>
              <w:rPr>
                <w:rFonts w:ascii="Arial" w:hAnsi="Arial"/>
              </w:rPr>
            </w:pPr>
            <w:r w:rsidRPr="00B06206">
              <w:rPr>
                <w:rFonts w:ascii="Arial" w:hAnsi="Arial"/>
              </w:rPr>
              <w:t>Director, Office of the Director-General</w:t>
            </w:r>
          </w:p>
        </w:tc>
      </w:tr>
      <w:tr w:rsidR="00F159BF" w:rsidRPr="00633348" w14:paraId="6F25F688" w14:textId="77777777" w:rsidTr="00392640">
        <w:trPr>
          <w:trHeight w:val="20"/>
        </w:trPr>
        <w:tc>
          <w:tcPr>
            <w:tcW w:w="2699" w:type="dxa"/>
          </w:tcPr>
          <w:p w14:paraId="549DEAB3" w14:textId="77777777" w:rsidR="00F159BF" w:rsidRPr="00B06206" w:rsidRDefault="00F159BF" w:rsidP="00633348">
            <w:pPr>
              <w:rPr>
                <w:rFonts w:ascii="Arial" w:hAnsi="Arial"/>
              </w:rPr>
            </w:pPr>
            <w:r w:rsidRPr="00B06206">
              <w:rPr>
                <w:rFonts w:ascii="Arial" w:hAnsi="Arial"/>
              </w:rPr>
              <w:t>Meeting frequency</w:t>
            </w:r>
          </w:p>
        </w:tc>
        <w:tc>
          <w:tcPr>
            <w:tcW w:w="7229" w:type="dxa"/>
          </w:tcPr>
          <w:p w14:paraId="4C22D3D9" w14:textId="20890F84" w:rsidR="00F159BF" w:rsidRPr="00B06206" w:rsidRDefault="00F159BF" w:rsidP="00633348">
            <w:pPr>
              <w:rPr>
                <w:rFonts w:ascii="Arial" w:hAnsi="Arial"/>
              </w:rPr>
            </w:pPr>
            <w:r w:rsidRPr="00B06206">
              <w:rPr>
                <w:rFonts w:ascii="Arial" w:hAnsi="Arial"/>
              </w:rPr>
              <w:t xml:space="preserve">The Priority Projects Oversight Group meets monthly. The Committee met </w:t>
            </w:r>
            <w:r w:rsidR="00A434D4" w:rsidRPr="00B06206">
              <w:rPr>
                <w:rFonts w:ascii="Arial" w:hAnsi="Arial"/>
              </w:rPr>
              <w:t>three</w:t>
            </w:r>
            <w:r w:rsidRPr="00B06206">
              <w:rPr>
                <w:rFonts w:ascii="Arial" w:hAnsi="Arial"/>
              </w:rPr>
              <w:t xml:space="preserve"> times</w:t>
            </w:r>
            <w:r w:rsidR="00A434D4" w:rsidRPr="00B06206">
              <w:rPr>
                <w:rFonts w:ascii="Arial" w:hAnsi="Arial"/>
              </w:rPr>
              <w:t xml:space="preserve"> between its formation in February 2021 and to 30 June 2021.</w:t>
            </w:r>
          </w:p>
        </w:tc>
      </w:tr>
      <w:bookmarkEnd w:id="22"/>
    </w:tbl>
    <w:p w14:paraId="6626287F" w14:textId="174FD145" w:rsidR="00462488" w:rsidRPr="00E4449B" w:rsidRDefault="00462488"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F159BF" w:rsidRPr="00B06206" w14:paraId="7DD6FCA9" w14:textId="77777777" w:rsidTr="00392640">
        <w:trPr>
          <w:trHeight w:val="20"/>
        </w:trPr>
        <w:tc>
          <w:tcPr>
            <w:tcW w:w="9928" w:type="dxa"/>
            <w:gridSpan w:val="2"/>
            <w:shd w:val="clear" w:color="auto" w:fill="939598"/>
          </w:tcPr>
          <w:p w14:paraId="41232F36" w14:textId="77777777" w:rsidR="00F159BF" w:rsidRPr="00B06206" w:rsidRDefault="00F159BF" w:rsidP="00633348">
            <w:pPr>
              <w:rPr>
                <w:rFonts w:ascii="Arial" w:hAnsi="Arial"/>
              </w:rPr>
            </w:pPr>
            <w:bookmarkStart w:id="23" w:name="_Hlk77946331"/>
            <w:r w:rsidRPr="00B06206">
              <w:rPr>
                <w:rFonts w:ascii="Arial" w:hAnsi="Arial"/>
              </w:rPr>
              <w:t xml:space="preserve">Regional Service Delivery Board </w:t>
            </w:r>
          </w:p>
        </w:tc>
      </w:tr>
      <w:tr w:rsidR="00F159BF" w:rsidRPr="00B06206" w14:paraId="184FE48B" w14:textId="77777777" w:rsidTr="00392640">
        <w:trPr>
          <w:trHeight w:val="20"/>
        </w:trPr>
        <w:tc>
          <w:tcPr>
            <w:tcW w:w="2699" w:type="dxa"/>
            <w:shd w:val="clear" w:color="auto" w:fill="DCDDDE"/>
          </w:tcPr>
          <w:p w14:paraId="3BA7DBA0" w14:textId="77777777" w:rsidR="00F159BF" w:rsidRPr="00B06206" w:rsidRDefault="00F159BF" w:rsidP="00633348">
            <w:pPr>
              <w:rPr>
                <w:rFonts w:ascii="Arial" w:hAnsi="Arial"/>
              </w:rPr>
            </w:pPr>
            <w:r w:rsidRPr="00B06206">
              <w:rPr>
                <w:rFonts w:ascii="Arial" w:hAnsi="Arial"/>
              </w:rPr>
              <w:t>Purpose</w:t>
            </w:r>
          </w:p>
        </w:tc>
        <w:tc>
          <w:tcPr>
            <w:tcW w:w="7229" w:type="dxa"/>
            <w:shd w:val="clear" w:color="auto" w:fill="DCDDDE"/>
          </w:tcPr>
          <w:p w14:paraId="31A16942" w14:textId="77777777" w:rsidR="00F159BF" w:rsidRPr="00B06206" w:rsidRDefault="00F159BF" w:rsidP="00633348">
            <w:pPr>
              <w:rPr>
                <w:rFonts w:ascii="Arial" w:hAnsi="Arial"/>
              </w:rPr>
            </w:pPr>
            <w:r w:rsidRPr="00B06206">
              <w:rPr>
                <w:rFonts w:ascii="Arial" w:hAnsi="Arial"/>
              </w:rPr>
              <w:t>To manage emerging business and operational issues that impact on regional service delivery related to Aboriginal and Torres Strait Islander Queenslanders.</w:t>
            </w:r>
          </w:p>
        </w:tc>
      </w:tr>
      <w:tr w:rsidR="00F159BF" w:rsidRPr="00B06206" w14:paraId="4E662BB6" w14:textId="77777777" w:rsidTr="00392640">
        <w:trPr>
          <w:trHeight w:val="20"/>
        </w:trPr>
        <w:tc>
          <w:tcPr>
            <w:tcW w:w="2699" w:type="dxa"/>
          </w:tcPr>
          <w:p w14:paraId="1E447376" w14:textId="77777777" w:rsidR="00F159BF" w:rsidRPr="00B06206" w:rsidRDefault="00F159BF" w:rsidP="00633348">
            <w:pPr>
              <w:rPr>
                <w:rFonts w:ascii="Arial" w:hAnsi="Arial"/>
              </w:rPr>
            </w:pPr>
            <w:r w:rsidRPr="00B06206">
              <w:rPr>
                <w:rFonts w:ascii="Arial" w:hAnsi="Arial"/>
              </w:rPr>
              <w:t>Membership</w:t>
            </w:r>
          </w:p>
        </w:tc>
        <w:tc>
          <w:tcPr>
            <w:tcW w:w="7229" w:type="dxa"/>
          </w:tcPr>
          <w:p w14:paraId="10E1EBD1" w14:textId="77777777" w:rsidR="00F159BF" w:rsidRPr="00B06206" w:rsidRDefault="00F159BF" w:rsidP="00B301A4">
            <w:pPr>
              <w:pStyle w:val="ListBullet"/>
              <w:rPr>
                <w:rFonts w:ascii="Arial" w:hAnsi="Arial"/>
              </w:rPr>
            </w:pPr>
            <w:r w:rsidRPr="00B06206">
              <w:rPr>
                <w:rFonts w:ascii="Arial" w:hAnsi="Arial"/>
              </w:rPr>
              <w:t>Deputy Director-General, Culture and Economic Participation (Chair)</w:t>
            </w:r>
          </w:p>
          <w:p w14:paraId="46206F57" w14:textId="77777777" w:rsidR="00F159BF" w:rsidRPr="00B06206" w:rsidRDefault="00F159BF" w:rsidP="00B301A4">
            <w:pPr>
              <w:pStyle w:val="ListBullet"/>
              <w:rPr>
                <w:rFonts w:ascii="Arial" w:hAnsi="Arial"/>
              </w:rPr>
            </w:pPr>
            <w:r w:rsidRPr="00B06206">
              <w:rPr>
                <w:rFonts w:ascii="Arial" w:hAnsi="Arial"/>
              </w:rPr>
              <w:t xml:space="preserve">Deputy Director-General, Policy and Corporate Services </w:t>
            </w:r>
          </w:p>
          <w:p w14:paraId="655C4235" w14:textId="77777777" w:rsidR="00F159BF" w:rsidRPr="00B06206" w:rsidRDefault="00F159BF" w:rsidP="00B301A4">
            <w:pPr>
              <w:pStyle w:val="ListBullet"/>
              <w:rPr>
                <w:rFonts w:ascii="Arial" w:hAnsi="Arial"/>
              </w:rPr>
            </w:pPr>
            <w:r w:rsidRPr="00B06206">
              <w:rPr>
                <w:rFonts w:ascii="Arial" w:hAnsi="Arial"/>
              </w:rPr>
              <w:t>Executive Director, Infrastructure and Coordination Director, Remote Indigenous Land and Infrastructure Program Office</w:t>
            </w:r>
          </w:p>
          <w:p w14:paraId="1F64D0C9" w14:textId="77777777" w:rsidR="00F159BF" w:rsidRPr="00B06206" w:rsidRDefault="00F159BF" w:rsidP="00B301A4">
            <w:pPr>
              <w:pStyle w:val="ListBullet"/>
              <w:rPr>
                <w:rFonts w:ascii="Arial" w:hAnsi="Arial"/>
              </w:rPr>
            </w:pPr>
            <w:r w:rsidRPr="00B06206">
              <w:rPr>
                <w:rFonts w:ascii="Arial" w:hAnsi="Arial"/>
              </w:rPr>
              <w:t xml:space="preserve">Regional Director, Cape and Torres </w:t>
            </w:r>
          </w:p>
          <w:p w14:paraId="79AA6736" w14:textId="77777777" w:rsidR="00F159BF" w:rsidRPr="00B06206" w:rsidRDefault="00F159BF" w:rsidP="00B301A4">
            <w:pPr>
              <w:pStyle w:val="ListBullet"/>
              <w:rPr>
                <w:rFonts w:ascii="Arial" w:hAnsi="Arial"/>
              </w:rPr>
            </w:pPr>
            <w:r w:rsidRPr="00B06206">
              <w:rPr>
                <w:rFonts w:ascii="Arial" w:hAnsi="Arial"/>
              </w:rPr>
              <w:t>Regional Director, Cairns and Hinterland</w:t>
            </w:r>
          </w:p>
          <w:p w14:paraId="19468BAA" w14:textId="77777777" w:rsidR="00F159BF" w:rsidRPr="00B06206" w:rsidRDefault="00F159BF" w:rsidP="00B301A4">
            <w:pPr>
              <w:pStyle w:val="ListBullet"/>
              <w:rPr>
                <w:rFonts w:ascii="Arial" w:hAnsi="Arial"/>
              </w:rPr>
            </w:pPr>
            <w:r w:rsidRPr="00B06206">
              <w:rPr>
                <w:rFonts w:ascii="Arial" w:hAnsi="Arial"/>
              </w:rPr>
              <w:t xml:space="preserve">Regional Director, North Queensland </w:t>
            </w:r>
          </w:p>
          <w:p w14:paraId="4268B4C7" w14:textId="77777777" w:rsidR="00F159BF" w:rsidRPr="00B06206" w:rsidRDefault="00F159BF" w:rsidP="00B301A4">
            <w:pPr>
              <w:pStyle w:val="ListBullet"/>
              <w:rPr>
                <w:rFonts w:ascii="Arial" w:hAnsi="Arial"/>
              </w:rPr>
            </w:pPr>
            <w:r w:rsidRPr="00B06206">
              <w:rPr>
                <w:rFonts w:ascii="Arial" w:hAnsi="Arial"/>
              </w:rPr>
              <w:t>Regional Director, Central Queensland</w:t>
            </w:r>
          </w:p>
          <w:p w14:paraId="45EBFCBA" w14:textId="77777777" w:rsidR="00F159BF" w:rsidRPr="00B06206" w:rsidRDefault="00F159BF" w:rsidP="00B301A4">
            <w:pPr>
              <w:pStyle w:val="ListBullet"/>
              <w:rPr>
                <w:rFonts w:ascii="Arial" w:hAnsi="Arial"/>
              </w:rPr>
            </w:pPr>
            <w:r w:rsidRPr="00B06206">
              <w:rPr>
                <w:rFonts w:ascii="Arial" w:hAnsi="Arial"/>
              </w:rPr>
              <w:t xml:space="preserve">Regional Director, South East Queensland (North) </w:t>
            </w:r>
          </w:p>
          <w:p w14:paraId="094B3B86" w14:textId="77777777" w:rsidR="00F159BF" w:rsidRPr="00B06206" w:rsidRDefault="00F159BF" w:rsidP="00B301A4">
            <w:pPr>
              <w:pStyle w:val="ListBullet"/>
              <w:rPr>
                <w:rFonts w:ascii="Arial" w:hAnsi="Arial"/>
              </w:rPr>
            </w:pPr>
            <w:r w:rsidRPr="00B06206">
              <w:rPr>
                <w:rFonts w:ascii="Arial" w:hAnsi="Arial"/>
              </w:rPr>
              <w:t>Regional Director, South East Queensland (South)</w:t>
            </w:r>
          </w:p>
          <w:p w14:paraId="411143E3" w14:textId="3778A23D" w:rsidR="00F159BF" w:rsidRPr="00B06206" w:rsidRDefault="00F159BF" w:rsidP="00633348">
            <w:pPr>
              <w:pStyle w:val="ListBullet"/>
              <w:rPr>
                <w:rFonts w:ascii="Arial" w:hAnsi="Arial"/>
              </w:rPr>
            </w:pPr>
            <w:r w:rsidRPr="00B06206">
              <w:rPr>
                <w:rFonts w:ascii="Arial" w:hAnsi="Arial"/>
              </w:rPr>
              <w:t>Regional Director, South West Queensland</w:t>
            </w:r>
          </w:p>
        </w:tc>
      </w:tr>
      <w:tr w:rsidR="00F159BF" w:rsidRPr="00B06206" w14:paraId="594A7F29" w14:textId="77777777" w:rsidTr="00392640">
        <w:trPr>
          <w:trHeight w:val="20"/>
        </w:trPr>
        <w:tc>
          <w:tcPr>
            <w:tcW w:w="2699" w:type="dxa"/>
          </w:tcPr>
          <w:p w14:paraId="016C0B1E" w14:textId="77777777" w:rsidR="00F159BF" w:rsidRPr="00B06206" w:rsidRDefault="00F159BF" w:rsidP="00633348">
            <w:pPr>
              <w:rPr>
                <w:rFonts w:ascii="Arial" w:hAnsi="Arial"/>
              </w:rPr>
            </w:pPr>
            <w:r w:rsidRPr="00B06206">
              <w:rPr>
                <w:rFonts w:ascii="Arial" w:hAnsi="Arial"/>
              </w:rPr>
              <w:t>Meeting frequency</w:t>
            </w:r>
          </w:p>
        </w:tc>
        <w:tc>
          <w:tcPr>
            <w:tcW w:w="7229" w:type="dxa"/>
          </w:tcPr>
          <w:p w14:paraId="74BB8782" w14:textId="7CF75E61" w:rsidR="00F159BF" w:rsidRPr="00B06206" w:rsidRDefault="00F159BF" w:rsidP="00B301A4">
            <w:pPr>
              <w:rPr>
                <w:rFonts w:ascii="Arial" w:hAnsi="Arial"/>
              </w:rPr>
            </w:pPr>
            <w:r w:rsidRPr="00B06206">
              <w:rPr>
                <w:rFonts w:ascii="Arial" w:hAnsi="Arial"/>
              </w:rPr>
              <w:t>The Regional Service Delivery Board meets bi-monthly. Th</w:t>
            </w:r>
            <w:r w:rsidR="008001A6" w:rsidRPr="00B06206">
              <w:rPr>
                <w:rFonts w:ascii="Arial" w:hAnsi="Arial"/>
              </w:rPr>
              <w:t>e Board</w:t>
            </w:r>
            <w:r w:rsidRPr="00B06206">
              <w:rPr>
                <w:rFonts w:ascii="Arial" w:hAnsi="Arial"/>
              </w:rPr>
              <w:t xml:space="preserve"> met </w:t>
            </w:r>
            <w:r w:rsidR="00A43701" w:rsidRPr="00B06206">
              <w:rPr>
                <w:rFonts w:ascii="Arial" w:hAnsi="Arial"/>
              </w:rPr>
              <w:t>four</w:t>
            </w:r>
            <w:r w:rsidRPr="00B06206">
              <w:rPr>
                <w:rFonts w:ascii="Arial" w:hAnsi="Arial"/>
              </w:rPr>
              <w:t xml:space="preserve"> times from 13 November 2020 to 30 June 2021. </w:t>
            </w:r>
          </w:p>
        </w:tc>
      </w:tr>
      <w:bookmarkEnd w:id="23"/>
    </w:tbl>
    <w:p w14:paraId="6E6FEB04" w14:textId="5AFFE6B8" w:rsidR="00462488" w:rsidRPr="00E4449B" w:rsidRDefault="00462488" w:rsidP="00E3035F">
      <w:pPr>
        <w:rPr>
          <w:rFonts w:eastAsia="Calibri"/>
          <w:lang w:eastAsia="en-US"/>
        </w:rPr>
      </w:pPr>
    </w:p>
    <w:tbl>
      <w:tblPr>
        <w:tblStyle w:val="TableGrid1"/>
        <w:tblW w:w="9928" w:type="dxa"/>
        <w:tblInd w:w="-5" w:type="dxa"/>
        <w:tblLayout w:type="fixed"/>
        <w:tblCellMar>
          <w:left w:w="0" w:type="dxa"/>
          <w:right w:w="0" w:type="dxa"/>
        </w:tblCellMar>
        <w:tblLook w:val="01E0" w:firstRow="1" w:lastRow="1" w:firstColumn="1" w:lastColumn="1" w:noHBand="0" w:noVBand="0"/>
      </w:tblPr>
      <w:tblGrid>
        <w:gridCol w:w="2699"/>
        <w:gridCol w:w="7229"/>
      </w:tblGrid>
      <w:tr w:rsidR="00E7582A" w:rsidRPr="00B301A4" w14:paraId="47CC5750" w14:textId="77777777" w:rsidTr="00392640">
        <w:trPr>
          <w:trHeight w:val="20"/>
        </w:trPr>
        <w:tc>
          <w:tcPr>
            <w:tcW w:w="9928" w:type="dxa"/>
            <w:gridSpan w:val="2"/>
            <w:shd w:val="clear" w:color="auto" w:fill="939598"/>
          </w:tcPr>
          <w:p w14:paraId="6816A532" w14:textId="11597752" w:rsidR="00E7582A" w:rsidRPr="00B06206" w:rsidRDefault="00E7582A" w:rsidP="00B301A4">
            <w:pPr>
              <w:rPr>
                <w:rFonts w:ascii="Arial" w:hAnsi="Arial"/>
              </w:rPr>
            </w:pPr>
            <w:bookmarkStart w:id="24" w:name="_Hlk77945718"/>
            <w:r w:rsidRPr="00B06206">
              <w:rPr>
                <w:rFonts w:ascii="Arial" w:hAnsi="Arial"/>
              </w:rPr>
              <w:t xml:space="preserve">Workforce Capability and Culture Steering Committee </w:t>
            </w:r>
          </w:p>
        </w:tc>
      </w:tr>
      <w:tr w:rsidR="00E7582A" w:rsidRPr="00B301A4" w14:paraId="1A1BFEFF" w14:textId="77777777" w:rsidTr="00392640">
        <w:trPr>
          <w:trHeight w:val="20"/>
        </w:trPr>
        <w:tc>
          <w:tcPr>
            <w:tcW w:w="2699" w:type="dxa"/>
            <w:shd w:val="clear" w:color="auto" w:fill="DCDDDE"/>
          </w:tcPr>
          <w:p w14:paraId="053E8456" w14:textId="77777777" w:rsidR="00E7582A" w:rsidRPr="00B06206" w:rsidRDefault="00E7582A" w:rsidP="00B301A4">
            <w:pPr>
              <w:rPr>
                <w:rFonts w:ascii="Arial" w:hAnsi="Arial"/>
              </w:rPr>
            </w:pPr>
            <w:r w:rsidRPr="00B06206">
              <w:rPr>
                <w:rFonts w:ascii="Arial" w:hAnsi="Arial"/>
              </w:rPr>
              <w:t>Purpose</w:t>
            </w:r>
          </w:p>
        </w:tc>
        <w:tc>
          <w:tcPr>
            <w:tcW w:w="7229" w:type="dxa"/>
            <w:shd w:val="clear" w:color="auto" w:fill="DCDDDE"/>
          </w:tcPr>
          <w:p w14:paraId="03F6475A" w14:textId="0A67D2D4" w:rsidR="00E7582A" w:rsidRPr="00B06206" w:rsidRDefault="00F04FF8" w:rsidP="00B301A4">
            <w:pPr>
              <w:rPr>
                <w:rFonts w:ascii="Arial" w:hAnsi="Arial"/>
              </w:rPr>
            </w:pPr>
            <w:r w:rsidRPr="00B06206">
              <w:rPr>
                <w:rFonts w:ascii="Arial" w:hAnsi="Arial"/>
              </w:rPr>
              <w:t>Drive the implementation of key workforce strategies to embed a culture that upholds the QPS and SOILD values; build workforce capability and resilience to meet current and future organisational needs; and promote the highest standards of ethical behaviour</w:t>
            </w:r>
            <w:r w:rsidR="00E7582A" w:rsidRPr="00B06206">
              <w:rPr>
                <w:rFonts w:ascii="Arial" w:hAnsi="Arial"/>
              </w:rPr>
              <w:t>.</w:t>
            </w:r>
          </w:p>
        </w:tc>
      </w:tr>
      <w:tr w:rsidR="00E7582A" w:rsidRPr="00B301A4" w14:paraId="7CF74330" w14:textId="77777777" w:rsidTr="00392640">
        <w:trPr>
          <w:trHeight w:val="20"/>
        </w:trPr>
        <w:tc>
          <w:tcPr>
            <w:tcW w:w="2699" w:type="dxa"/>
          </w:tcPr>
          <w:p w14:paraId="381756D8" w14:textId="77777777" w:rsidR="00E7582A" w:rsidRPr="00B06206" w:rsidRDefault="00E7582A" w:rsidP="00B301A4">
            <w:pPr>
              <w:rPr>
                <w:rFonts w:ascii="Arial" w:hAnsi="Arial"/>
              </w:rPr>
            </w:pPr>
            <w:r w:rsidRPr="00B06206">
              <w:rPr>
                <w:rFonts w:ascii="Arial" w:hAnsi="Arial"/>
              </w:rPr>
              <w:t>Membership</w:t>
            </w:r>
          </w:p>
        </w:tc>
        <w:tc>
          <w:tcPr>
            <w:tcW w:w="7229" w:type="dxa"/>
          </w:tcPr>
          <w:p w14:paraId="5BF8865F" w14:textId="77777777" w:rsidR="00F04FF8" w:rsidRPr="00B06206" w:rsidRDefault="00F04FF8" w:rsidP="00B301A4">
            <w:pPr>
              <w:pStyle w:val="ListBullet"/>
              <w:rPr>
                <w:rFonts w:ascii="Arial" w:hAnsi="Arial"/>
              </w:rPr>
            </w:pPr>
            <w:r w:rsidRPr="00B06206">
              <w:rPr>
                <w:rFonts w:ascii="Arial" w:hAnsi="Arial"/>
              </w:rPr>
              <w:t>Assistant Director-General, Disability and Seniors Connect (Chair)</w:t>
            </w:r>
          </w:p>
          <w:p w14:paraId="6847DDC0" w14:textId="77777777" w:rsidR="00F04FF8" w:rsidRPr="00B06206" w:rsidRDefault="00F04FF8" w:rsidP="00B301A4">
            <w:pPr>
              <w:pStyle w:val="ListBullet"/>
              <w:rPr>
                <w:rFonts w:ascii="Arial" w:hAnsi="Arial"/>
              </w:rPr>
            </w:pPr>
            <w:r w:rsidRPr="00B06206">
              <w:rPr>
                <w:rFonts w:ascii="Arial" w:hAnsi="Arial"/>
              </w:rPr>
              <w:lastRenderedPageBreak/>
              <w:t>Chief Human Resources Officer</w:t>
            </w:r>
          </w:p>
          <w:p w14:paraId="2812F687" w14:textId="77777777" w:rsidR="00F04FF8" w:rsidRPr="00B06206" w:rsidRDefault="00F04FF8" w:rsidP="00B301A4">
            <w:pPr>
              <w:pStyle w:val="ListBullet"/>
              <w:rPr>
                <w:rFonts w:ascii="Arial" w:hAnsi="Arial"/>
              </w:rPr>
            </w:pPr>
            <w:r w:rsidRPr="00B06206">
              <w:rPr>
                <w:rFonts w:ascii="Arial" w:hAnsi="Arial"/>
              </w:rPr>
              <w:t>Deputy Director-General, Culture and Economic Participation</w:t>
            </w:r>
          </w:p>
          <w:p w14:paraId="7A886278" w14:textId="77777777" w:rsidR="00F04FF8" w:rsidRPr="00B06206" w:rsidRDefault="00F04FF8" w:rsidP="00B301A4">
            <w:pPr>
              <w:pStyle w:val="ListBullet"/>
              <w:rPr>
                <w:rFonts w:ascii="Arial" w:hAnsi="Arial"/>
              </w:rPr>
            </w:pPr>
            <w:r w:rsidRPr="00B06206">
              <w:rPr>
                <w:rFonts w:ascii="Arial" w:hAnsi="Arial"/>
              </w:rPr>
              <w:t>Assistant Director-General, Disability Accommodation, Respite and Forensic Services</w:t>
            </w:r>
          </w:p>
          <w:p w14:paraId="136AA2E1" w14:textId="763493F7" w:rsidR="00E7582A" w:rsidRPr="00B06206" w:rsidRDefault="00F04FF8" w:rsidP="00B301A4">
            <w:pPr>
              <w:pStyle w:val="ListBullet"/>
              <w:rPr>
                <w:rFonts w:ascii="Arial" w:hAnsi="Arial"/>
              </w:rPr>
            </w:pPr>
            <w:r w:rsidRPr="00B06206">
              <w:rPr>
                <w:rFonts w:ascii="Arial" w:hAnsi="Arial"/>
              </w:rPr>
              <w:t>Deputy Director-General, Policy and Corporate Services</w:t>
            </w:r>
            <w:r w:rsidR="00E7582A" w:rsidRPr="00B06206">
              <w:rPr>
                <w:rFonts w:ascii="Arial" w:hAnsi="Arial"/>
              </w:rPr>
              <w:t>)</w:t>
            </w:r>
          </w:p>
        </w:tc>
      </w:tr>
      <w:tr w:rsidR="00E7582A" w:rsidRPr="00B301A4" w14:paraId="01097BA3" w14:textId="77777777" w:rsidTr="00392640">
        <w:trPr>
          <w:trHeight w:val="20"/>
        </w:trPr>
        <w:tc>
          <w:tcPr>
            <w:tcW w:w="2699" w:type="dxa"/>
          </w:tcPr>
          <w:p w14:paraId="17AF5516" w14:textId="77777777" w:rsidR="00E7582A" w:rsidRPr="00B06206" w:rsidRDefault="00E7582A" w:rsidP="00B301A4">
            <w:pPr>
              <w:rPr>
                <w:rFonts w:ascii="Arial" w:hAnsi="Arial"/>
              </w:rPr>
            </w:pPr>
            <w:r w:rsidRPr="00B06206">
              <w:rPr>
                <w:rFonts w:ascii="Arial" w:hAnsi="Arial"/>
              </w:rPr>
              <w:lastRenderedPageBreak/>
              <w:t>Meeting frequency</w:t>
            </w:r>
          </w:p>
        </w:tc>
        <w:tc>
          <w:tcPr>
            <w:tcW w:w="7229" w:type="dxa"/>
          </w:tcPr>
          <w:p w14:paraId="6D76C8FD" w14:textId="5A1D6922" w:rsidR="00E7582A" w:rsidRPr="00B06206" w:rsidRDefault="00E7582A" w:rsidP="00B301A4">
            <w:pPr>
              <w:rPr>
                <w:rFonts w:ascii="Arial" w:hAnsi="Arial"/>
              </w:rPr>
            </w:pPr>
            <w:r w:rsidRPr="00B06206">
              <w:rPr>
                <w:rFonts w:ascii="Arial" w:hAnsi="Arial"/>
              </w:rPr>
              <w:t>The Workforce Capability and Culture Steering Committee</w:t>
            </w:r>
            <w:r w:rsidR="00F04FF8" w:rsidRPr="00B06206">
              <w:rPr>
                <w:rFonts w:ascii="Arial" w:hAnsi="Arial"/>
              </w:rPr>
              <w:t xml:space="preserve"> meets quarterly</w:t>
            </w:r>
            <w:r w:rsidRPr="00B06206">
              <w:rPr>
                <w:rFonts w:ascii="Arial" w:hAnsi="Arial"/>
              </w:rPr>
              <w:t xml:space="preserve">. The Committee met </w:t>
            </w:r>
            <w:r w:rsidR="00F02EEB" w:rsidRPr="00B06206">
              <w:rPr>
                <w:rFonts w:ascii="Arial" w:hAnsi="Arial"/>
              </w:rPr>
              <w:t>two</w:t>
            </w:r>
            <w:r w:rsidRPr="00B06206">
              <w:rPr>
                <w:rFonts w:ascii="Arial" w:hAnsi="Arial"/>
              </w:rPr>
              <w:t xml:space="preserve"> times from 13 November 2020 to 30 June 2021. </w:t>
            </w:r>
          </w:p>
        </w:tc>
      </w:tr>
    </w:tbl>
    <w:p w14:paraId="41643D3B" w14:textId="16E9ACE8" w:rsidR="000727DE" w:rsidRPr="00E4449B" w:rsidRDefault="000727DE">
      <w:pPr>
        <w:spacing w:after="0" w:line="240" w:lineRule="auto"/>
        <w:rPr>
          <w:rFonts w:eastAsia="Calibri"/>
          <w:bCs/>
          <w:iCs/>
          <w:color w:val="5C215E"/>
          <w:spacing w:val="-4"/>
          <w:sz w:val="30"/>
          <w:szCs w:val="30"/>
          <w:lang w:eastAsia="en-US"/>
        </w:rPr>
      </w:pPr>
      <w:bookmarkStart w:id="25" w:name="_Toc43444836"/>
      <w:bookmarkEnd w:id="0"/>
      <w:bookmarkEnd w:id="24"/>
      <w:r w:rsidRPr="00E4449B">
        <w:rPr>
          <w:rFonts w:eastAsia="Calibri"/>
          <w:bCs/>
          <w:iCs/>
          <w:color w:val="5C215E"/>
          <w:spacing w:val="-4"/>
          <w:sz w:val="30"/>
          <w:szCs w:val="30"/>
          <w:lang w:eastAsia="en-US"/>
        </w:rPr>
        <w:br w:type="page"/>
      </w:r>
    </w:p>
    <w:p w14:paraId="539A2041" w14:textId="083DAEB6" w:rsidR="00B4253E" w:rsidRPr="00497E44" w:rsidRDefault="00B5154C" w:rsidP="00497E44">
      <w:pPr>
        <w:pStyle w:val="Heading2"/>
      </w:pPr>
      <w:bookmarkStart w:id="26" w:name="_Toc78287413"/>
      <w:bookmarkStart w:id="27" w:name="_Toc78355820"/>
      <w:bookmarkStart w:id="28" w:name="_Toc81984390"/>
      <w:r w:rsidRPr="00497E44">
        <w:lastRenderedPageBreak/>
        <w:t xml:space="preserve">Appendix </w:t>
      </w:r>
      <w:r w:rsidR="00B4253E" w:rsidRPr="00497E44">
        <w:t>4</w:t>
      </w:r>
      <w:r w:rsidRPr="00497E44">
        <w:t xml:space="preserve"> – Service Delivery Statements</w:t>
      </w:r>
      <w:bookmarkEnd w:id="25"/>
      <w:bookmarkEnd w:id="26"/>
      <w:bookmarkEnd w:id="27"/>
      <w:bookmarkEnd w:id="28"/>
      <w:r w:rsidR="00B4253E" w:rsidRPr="00497E44">
        <w:t xml:space="preserve"> </w:t>
      </w:r>
    </w:p>
    <w:p w14:paraId="08D589A2" w14:textId="634C64AB" w:rsidR="00A31C9B" w:rsidRPr="00497E44" w:rsidRDefault="004C6595" w:rsidP="00497E44">
      <w:pPr>
        <w:pStyle w:val="Heading3"/>
        <w:rPr>
          <w:rFonts w:eastAsia="Calibri"/>
        </w:rPr>
      </w:pPr>
      <w:r w:rsidRPr="00497E44">
        <w:rPr>
          <w:rFonts w:eastAsia="Calibri"/>
        </w:rPr>
        <w:t>2020-</w:t>
      </w:r>
      <w:r w:rsidR="00B4253E" w:rsidRPr="00497E44">
        <w:rPr>
          <w:rFonts w:eastAsia="Calibri"/>
        </w:rPr>
        <w:t>2021</w:t>
      </w:r>
      <w:r w:rsidR="00A31C9B" w:rsidRPr="00497E44">
        <w:rPr>
          <w:rFonts w:eastAsia="Calibri"/>
        </w:rPr>
        <w:t xml:space="preserve"> Performance </w:t>
      </w:r>
      <w:r w:rsidR="00986306" w:rsidRPr="00497E44">
        <w:rPr>
          <w:rFonts w:eastAsia="Calibri"/>
        </w:rPr>
        <w:t>S</w:t>
      </w:r>
      <w:r w:rsidR="00A31C9B" w:rsidRPr="00497E44">
        <w:rPr>
          <w:rFonts w:eastAsia="Calibri"/>
        </w:rPr>
        <w:t>tatement</w:t>
      </w:r>
    </w:p>
    <w:p w14:paraId="030DC39A" w14:textId="38EE566F" w:rsidR="00554CC1" w:rsidRPr="00E4449B" w:rsidRDefault="004C6595" w:rsidP="00B301A4">
      <w:pPr>
        <w:rPr>
          <w:rFonts w:eastAsia="Calibri"/>
          <w:lang w:val="en-US" w:eastAsia="en-US"/>
        </w:rPr>
      </w:pPr>
      <w:r w:rsidRPr="00E4449B">
        <w:rPr>
          <w:rFonts w:eastAsia="Calibri"/>
          <w:lang w:val="en-US" w:eastAsia="en-US"/>
        </w:rPr>
        <w:t xml:space="preserve">During </w:t>
      </w:r>
      <w:r w:rsidR="001E5C6A" w:rsidRPr="00E4449B">
        <w:rPr>
          <w:rFonts w:eastAsia="Calibri"/>
          <w:lang w:val="en-US" w:eastAsia="en-US"/>
        </w:rPr>
        <w:t>2020-2021</w:t>
      </w:r>
      <w:r w:rsidRPr="00E4449B">
        <w:rPr>
          <w:rFonts w:eastAsia="Calibri"/>
          <w:lang w:val="en-US" w:eastAsia="en-US"/>
        </w:rPr>
        <w:t xml:space="preserve">, </w:t>
      </w:r>
      <w:r w:rsidR="00554CC1" w:rsidRPr="00E4449B">
        <w:rPr>
          <w:rFonts w:eastAsia="Calibri"/>
          <w:lang w:val="en-US" w:eastAsia="en-US"/>
        </w:rPr>
        <w:t xml:space="preserve">the Department of </w:t>
      </w:r>
      <w:r w:rsidRPr="00E4449B">
        <w:rPr>
          <w:rFonts w:eastAsia="Calibri"/>
          <w:lang w:val="en-US" w:eastAsia="en-US"/>
        </w:rPr>
        <w:t xml:space="preserve">Seniors, Disability Services and </w:t>
      </w:r>
      <w:r w:rsidR="00554CC1" w:rsidRPr="00E4449B">
        <w:rPr>
          <w:rFonts w:eastAsia="Calibri"/>
          <w:lang w:val="en-US" w:eastAsia="en-US"/>
        </w:rPr>
        <w:t xml:space="preserve">Aboriginal and Torres Strait Islander Partnerships’ </w:t>
      </w:r>
      <w:r w:rsidRPr="00E4449B">
        <w:rPr>
          <w:rFonts w:eastAsia="Calibri"/>
          <w:lang w:val="en-US" w:eastAsia="en-US"/>
        </w:rPr>
        <w:t>delivered the following services:</w:t>
      </w:r>
    </w:p>
    <w:p w14:paraId="7D3BD04D" w14:textId="78DC247E" w:rsidR="004C6595" w:rsidRPr="00E4449B" w:rsidRDefault="004C6595" w:rsidP="00B301A4">
      <w:pPr>
        <w:rPr>
          <w:rFonts w:eastAsia="Calibri"/>
          <w:lang w:val="en-US" w:eastAsia="en-US"/>
        </w:rPr>
      </w:pPr>
      <w:r w:rsidRPr="00E4449B">
        <w:rPr>
          <w:rFonts w:eastAsia="Calibri"/>
          <w:lang w:val="en-US" w:eastAsia="en-US"/>
        </w:rPr>
        <w:t>Seniors Services – developed programs and services for seniors that reduce the cost of living, enhance wellbeing, support community participation, and prevent and address elder abuse. Age-friendly communities assisted seniors to contribute economically, socially and culturally to their communities.</w:t>
      </w:r>
    </w:p>
    <w:p w14:paraId="3070F5FA" w14:textId="3A590018" w:rsidR="004C6595" w:rsidRPr="00E4449B" w:rsidRDefault="004C6595" w:rsidP="00B301A4">
      <w:pPr>
        <w:rPr>
          <w:rFonts w:eastAsia="Calibri"/>
          <w:lang w:val="en-US" w:eastAsia="en-US"/>
        </w:rPr>
      </w:pPr>
      <w:r w:rsidRPr="00E4449B">
        <w:rPr>
          <w:rFonts w:eastAsia="Calibri"/>
          <w:lang w:val="en-US" w:eastAsia="en-US"/>
        </w:rPr>
        <w:t>Disability Services – enabled people to access disability services that assist them with the core activities of daily living and achieving their goals, as part of inclusive communities, and to contribute to systems that safeguard and protect the rights of people with disability.</w:t>
      </w:r>
    </w:p>
    <w:p w14:paraId="60FF39CB" w14:textId="615BDB0E" w:rsidR="004C6595" w:rsidRPr="00E4449B" w:rsidRDefault="00EA3DE6" w:rsidP="00B301A4">
      <w:pPr>
        <w:rPr>
          <w:rFonts w:eastAsia="Calibri"/>
          <w:lang w:val="en-US" w:eastAsia="en-US"/>
        </w:rPr>
      </w:pPr>
      <w:r w:rsidRPr="00E4449B">
        <w:rPr>
          <w:rFonts w:eastAsia="Calibri"/>
          <w:lang w:val="en-US" w:eastAsia="en-US"/>
        </w:rPr>
        <w:t xml:space="preserve">Aboriginal and Torres Strait Islander Partnerships - </w:t>
      </w:r>
      <w:r w:rsidR="004C6595" w:rsidRPr="00E4449B">
        <w:rPr>
          <w:rFonts w:eastAsia="Calibri"/>
          <w:lang w:val="en-US" w:eastAsia="en-US"/>
        </w:rPr>
        <w:t>Economic Participation</w:t>
      </w:r>
      <w:r w:rsidRPr="00E4449B">
        <w:rPr>
          <w:rFonts w:eastAsia="Calibri"/>
          <w:lang w:val="en-US" w:eastAsia="en-US"/>
        </w:rPr>
        <w:t xml:space="preserve"> </w:t>
      </w:r>
      <w:r w:rsidR="004C6595" w:rsidRPr="00E4449B">
        <w:rPr>
          <w:rFonts w:eastAsia="Calibri"/>
          <w:lang w:val="en-US" w:eastAsia="en-US"/>
        </w:rPr>
        <w:t>– increased the economic participation of Aboriginal peoples and Torres Strait Islander peoples.</w:t>
      </w:r>
    </w:p>
    <w:p w14:paraId="665F3AE1" w14:textId="43EDE005" w:rsidR="004C6595" w:rsidRPr="00E4449B" w:rsidRDefault="00EA3DE6" w:rsidP="00B301A4">
      <w:pPr>
        <w:rPr>
          <w:rFonts w:eastAsia="Calibri"/>
          <w:lang w:val="en-US" w:eastAsia="en-US"/>
        </w:rPr>
      </w:pPr>
      <w:r w:rsidRPr="00E4449B">
        <w:rPr>
          <w:rFonts w:eastAsia="Calibri"/>
          <w:lang w:val="en-US" w:eastAsia="en-US"/>
        </w:rPr>
        <w:t xml:space="preserve">Aboriginal and Torres Strait Islander Partnerships </w:t>
      </w:r>
      <w:r w:rsidR="001B0E4A" w:rsidRPr="00E4449B">
        <w:rPr>
          <w:rFonts w:eastAsia="Calibri"/>
          <w:lang w:val="en-US" w:eastAsia="en-US"/>
        </w:rPr>
        <w:t>- Community</w:t>
      </w:r>
      <w:r w:rsidR="004C6595" w:rsidRPr="00E4449B">
        <w:rPr>
          <w:rFonts w:eastAsia="Calibri"/>
          <w:lang w:val="en-US" w:eastAsia="en-US"/>
        </w:rPr>
        <w:t xml:space="preserve"> Participation </w:t>
      </w:r>
      <w:r w:rsidRPr="00E4449B">
        <w:rPr>
          <w:rFonts w:eastAsia="Calibri"/>
          <w:lang w:val="en-US" w:eastAsia="en-US"/>
        </w:rPr>
        <w:t>–</w:t>
      </w:r>
      <w:r w:rsidR="004C6595" w:rsidRPr="00E4449B">
        <w:rPr>
          <w:rFonts w:eastAsia="Calibri"/>
          <w:lang w:val="en-US" w:eastAsia="en-US"/>
        </w:rPr>
        <w:t xml:space="preserve"> </w:t>
      </w:r>
      <w:r w:rsidRPr="00E4449B">
        <w:rPr>
          <w:rFonts w:eastAsia="Calibri"/>
          <w:lang w:val="en-US" w:eastAsia="en-US"/>
        </w:rPr>
        <w:t>increased the community participation of Aboriginal peoples and Torres Strait Islander peoples.</w:t>
      </w:r>
    </w:p>
    <w:p w14:paraId="5CC8C69E" w14:textId="4A4CDA85" w:rsidR="00665FFE" w:rsidRPr="00E4449B" w:rsidRDefault="00B301A4" w:rsidP="00B301A4">
      <w:pPr>
        <w:pStyle w:val="Heading3"/>
        <w:rPr>
          <w:rFonts w:eastAsia="Calibri"/>
          <w:w w:val="105"/>
          <w:vertAlign w:val="superscript"/>
          <w:lang w:val="en-US"/>
        </w:rPr>
      </w:pPr>
      <w:r w:rsidRPr="00E4449B">
        <w:rPr>
          <w:rFonts w:eastAsia="Calibri"/>
          <w:w w:val="105"/>
          <w:lang w:val="en-US"/>
        </w:rPr>
        <w:t>Seniors Service</w:t>
      </w:r>
    </w:p>
    <w:tbl>
      <w:tblPr>
        <w:tblStyle w:val="TableGrid1"/>
        <w:tblW w:w="10390" w:type="dxa"/>
        <w:tblInd w:w="100" w:type="dxa"/>
        <w:tblLayout w:type="fixed"/>
        <w:tblCellMar>
          <w:left w:w="0" w:type="dxa"/>
          <w:right w:w="0" w:type="dxa"/>
        </w:tblCellMar>
        <w:tblLook w:val="01E0" w:firstRow="1" w:lastRow="1" w:firstColumn="1" w:lastColumn="1" w:noHBand="0" w:noVBand="0"/>
      </w:tblPr>
      <w:tblGrid>
        <w:gridCol w:w="6621"/>
        <w:gridCol w:w="1310"/>
        <w:gridCol w:w="1183"/>
        <w:gridCol w:w="1276"/>
      </w:tblGrid>
      <w:tr w:rsidR="00367A64" w:rsidRPr="00B301A4" w14:paraId="60A8A8AE" w14:textId="77777777" w:rsidTr="00367A64">
        <w:trPr>
          <w:trHeight w:val="20"/>
        </w:trPr>
        <w:tc>
          <w:tcPr>
            <w:tcW w:w="6621" w:type="dxa"/>
            <w:shd w:val="clear" w:color="auto" w:fill="939598"/>
          </w:tcPr>
          <w:p w14:paraId="0E9C96C5" w14:textId="0702540A" w:rsidR="00367A64" w:rsidRPr="00B06206" w:rsidRDefault="00367A64" w:rsidP="00DF0A4A">
            <w:pPr>
              <w:spacing w:before="480"/>
              <w:rPr>
                <w:rFonts w:ascii="Arial" w:hAnsi="Arial"/>
              </w:rPr>
            </w:pPr>
            <w:r w:rsidRPr="00B06206">
              <w:rPr>
                <w:rFonts w:ascii="Arial" w:hAnsi="Arial"/>
              </w:rPr>
              <w:t xml:space="preserve">Department </w:t>
            </w:r>
            <w:r w:rsidR="00167DC4" w:rsidRPr="00B06206">
              <w:rPr>
                <w:rFonts w:ascii="Arial" w:hAnsi="Arial"/>
              </w:rPr>
              <w:t>of</w:t>
            </w:r>
            <w:r w:rsidRPr="00B06206">
              <w:rPr>
                <w:rFonts w:ascii="Arial" w:hAnsi="Arial"/>
              </w:rPr>
              <w:t xml:space="preserve"> Seniors, Disability Services and Aboriginal and Torres Strait Islander Partnerships</w:t>
            </w:r>
          </w:p>
        </w:tc>
        <w:tc>
          <w:tcPr>
            <w:tcW w:w="1310" w:type="dxa"/>
            <w:shd w:val="clear" w:color="auto" w:fill="939598"/>
          </w:tcPr>
          <w:p w14:paraId="3B0F583B" w14:textId="77777777" w:rsidR="00367A64" w:rsidRPr="00B06206" w:rsidRDefault="00367A64" w:rsidP="00DF0A4A">
            <w:pPr>
              <w:spacing w:before="480"/>
              <w:rPr>
                <w:rFonts w:ascii="Arial" w:hAnsi="Arial"/>
              </w:rPr>
            </w:pPr>
            <w:r w:rsidRPr="00B06206">
              <w:rPr>
                <w:rFonts w:ascii="Arial" w:hAnsi="Arial"/>
              </w:rPr>
              <w:t>Notes</w:t>
            </w:r>
          </w:p>
        </w:tc>
        <w:tc>
          <w:tcPr>
            <w:tcW w:w="1183" w:type="dxa"/>
            <w:shd w:val="clear" w:color="auto" w:fill="939598"/>
          </w:tcPr>
          <w:p w14:paraId="56B89A36" w14:textId="77777777" w:rsidR="00367A64" w:rsidRPr="00B06206" w:rsidRDefault="00367A64" w:rsidP="00695BCA">
            <w:pPr>
              <w:rPr>
                <w:rFonts w:ascii="Arial" w:hAnsi="Arial"/>
              </w:rPr>
            </w:pPr>
            <w:r w:rsidRPr="00B06206">
              <w:rPr>
                <w:rFonts w:ascii="Arial" w:hAnsi="Arial"/>
              </w:rPr>
              <w:t>2020-2021</w:t>
            </w:r>
          </w:p>
          <w:p w14:paraId="0300EE1A" w14:textId="77777777" w:rsidR="00367A64" w:rsidRPr="00B06206" w:rsidRDefault="00367A64" w:rsidP="00695BCA">
            <w:pPr>
              <w:rPr>
                <w:rFonts w:ascii="Arial" w:hAnsi="Arial"/>
              </w:rPr>
            </w:pPr>
            <w:r w:rsidRPr="00B06206">
              <w:rPr>
                <w:rFonts w:ascii="Arial" w:hAnsi="Arial"/>
              </w:rPr>
              <w:t>Target/est.</w:t>
            </w:r>
          </w:p>
        </w:tc>
        <w:tc>
          <w:tcPr>
            <w:tcW w:w="1276" w:type="dxa"/>
            <w:shd w:val="clear" w:color="auto" w:fill="939598"/>
          </w:tcPr>
          <w:p w14:paraId="55BAFECF" w14:textId="77777777" w:rsidR="00367A64" w:rsidRPr="00B06206" w:rsidRDefault="00367A64" w:rsidP="00695BCA">
            <w:pPr>
              <w:rPr>
                <w:rFonts w:ascii="Arial" w:hAnsi="Arial"/>
              </w:rPr>
            </w:pPr>
            <w:r w:rsidRPr="00B06206">
              <w:rPr>
                <w:rFonts w:ascii="Arial" w:hAnsi="Arial"/>
              </w:rPr>
              <w:t xml:space="preserve">2020-2021 </w:t>
            </w:r>
          </w:p>
          <w:p w14:paraId="01CE4138" w14:textId="03565F46" w:rsidR="00367A64" w:rsidRPr="00B06206" w:rsidRDefault="00367A64" w:rsidP="00695BCA">
            <w:pPr>
              <w:rPr>
                <w:rFonts w:ascii="Arial" w:hAnsi="Arial"/>
                <w:highlight w:val="yellow"/>
              </w:rPr>
            </w:pPr>
            <w:r w:rsidRPr="00B06206">
              <w:rPr>
                <w:rFonts w:ascii="Arial" w:hAnsi="Arial"/>
              </w:rPr>
              <w:t xml:space="preserve">Actual (1 </w:t>
            </w:r>
            <w:r w:rsidR="00167DC4" w:rsidRPr="00B06206">
              <w:rPr>
                <w:rFonts w:ascii="Arial" w:hAnsi="Arial"/>
              </w:rPr>
              <w:t>July</w:t>
            </w:r>
            <w:r w:rsidRPr="00B06206">
              <w:rPr>
                <w:rFonts w:ascii="Arial" w:hAnsi="Arial"/>
              </w:rPr>
              <w:t xml:space="preserve"> 2020 </w:t>
            </w:r>
            <w:r w:rsidR="0073373B" w:rsidRPr="00B06206">
              <w:rPr>
                <w:rFonts w:ascii="Arial" w:hAnsi="Arial"/>
              </w:rPr>
              <w:t xml:space="preserve">to </w:t>
            </w:r>
            <w:r w:rsidRPr="00B06206">
              <w:rPr>
                <w:rFonts w:ascii="Arial" w:hAnsi="Arial"/>
              </w:rPr>
              <w:t xml:space="preserve">30 </w:t>
            </w:r>
            <w:r w:rsidR="00167DC4" w:rsidRPr="00B06206">
              <w:rPr>
                <w:rFonts w:ascii="Arial" w:hAnsi="Arial"/>
              </w:rPr>
              <w:t>June</w:t>
            </w:r>
            <w:r w:rsidRPr="00B06206">
              <w:rPr>
                <w:rFonts w:ascii="Arial" w:hAnsi="Arial"/>
              </w:rPr>
              <w:t xml:space="preserve"> 2021)</w:t>
            </w:r>
          </w:p>
        </w:tc>
      </w:tr>
      <w:tr w:rsidR="00665FFE" w:rsidRPr="00B301A4" w14:paraId="26937B91" w14:textId="77777777" w:rsidTr="00367A64">
        <w:trPr>
          <w:trHeight w:val="20"/>
        </w:trPr>
        <w:tc>
          <w:tcPr>
            <w:tcW w:w="10390" w:type="dxa"/>
            <w:gridSpan w:val="4"/>
            <w:shd w:val="clear" w:color="auto" w:fill="D1D3D4"/>
          </w:tcPr>
          <w:p w14:paraId="778E3BA7" w14:textId="3088DEE9" w:rsidR="00665FFE" w:rsidRPr="00B06206" w:rsidRDefault="00932845" w:rsidP="00B301A4">
            <w:pPr>
              <w:rPr>
                <w:rFonts w:ascii="Arial" w:hAnsi="Arial"/>
              </w:rPr>
            </w:pPr>
            <w:r w:rsidRPr="00B06206">
              <w:rPr>
                <w:rFonts w:ascii="Arial" w:hAnsi="Arial"/>
              </w:rPr>
              <w:t>Service Area: Senior Services</w:t>
            </w:r>
            <w:r w:rsidRPr="00B06206">
              <w:rPr>
                <w:rFonts w:ascii="Arial" w:hAnsi="Arial"/>
                <w:vertAlign w:val="superscript"/>
              </w:rPr>
              <w:t>1</w:t>
            </w:r>
          </w:p>
        </w:tc>
      </w:tr>
      <w:tr w:rsidR="00665FFE" w:rsidRPr="00B301A4" w14:paraId="4CE5BA7C" w14:textId="77777777" w:rsidTr="00367A64">
        <w:trPr>
          <w:trHeight w:val="20"/>
        </w:trPr>
        <w:tc>
          <w:tcPr>
            <w:tcW w:w="6621" w:type="dxa"/>
          </w:tcPr>
          <w:p w14:paraId="02F833EF" w14:textId="77777777" w:rsidR="00665FFE" w:rsidRPr="00B06206" w:rsidRDefault="00665FFE" w:rsidP="00B301A4">
            <w:pPr>
              <w:rPr>
                <w:rFonts w:ascii="Arial" w:hAnsi="Arial"/>
              </w:rPr>
            </w:pPr>
            <w:r w:rsidRPr="00B06206">
              <w:rPr>
                <w:rFonts w:ascii="Arial" w:hAnsi="Arial"/>
              </w:rPr>
              <w:t>Service standards</w:t>
            </w:r>
          </w:p>
          <w:p w14:paraId="06ED0B87" w14:textId="77777777" w:rsidR="00665FFE" w:rsidRPr="00B06206" w:rsidRDefault="00665FFE" w:rsidP="00B301A4">
            <w:pPr>
              <w:rPr>
                <w:rFonts w:ascii="Arial" w:hAnsi="Arial"/>
              </w:rPr>
            </w:pPr>
            <w:r w:rsidRPr="00B06206">
              <w:rPr>
                <w:rFonts w:ascii="Arial" w:hAnsi="Arial"/>
              </w:rPr>
              <w:t>Effectiveness measures</w:t>
            </w:r>
          </w:p>
          <w:p w14:paraId="4EDFFA42" w14:textId="25DF188D" w:rsidR="00665FFE" w:rsidRPr="00B06206" w:rsidRDefault="00665FFE" w:rsidP="00B301A4">
            <w:pPr>
              <w:rPr>
                <w:rFonts w:ascii="Arial" w:hAnsi="Arial"/>
              </w:rPr>
            </w:pPr>
            <w:r w:rsidRPr="00B06206">
              <w:rPr>
                <w:rFonts w:ascii="Arial" w:hAnsi="Arial"/>
              </w:rPr>
              <w:t>Percentage of eligible Seniors with a Seniors Card</w:t>
            </w:r>
          </w:p>
        </w:tc>
        <w:tc>
          <w:tcPr>
            <w:tcW w:w="1310" w:type="dxa"/>
          </w:tcPr>
          <w:p w14:paraId="40F1BCA9" w14:textId="6B4E1067" w:rsidR="00665FFE" w:rsidRPr="00B06206" w:rsidRDefault="0039178E" w:rsidP="00DF0A4A">
            <w:pPr>
              <w:spacing w:before="960"/>
              <w:rPr>
                <w:rFonts w:ascii="Arial" w:hAnsi="Arial"/>
              </w:rPr>
            </w:pPr>
            <w:r w:rsidRPr="00B06206">
              <w:rPr>
                <w:rFonts w:ascii="Arial" w:hAnsi="Arial"/>
              </w:rPr>
              <w:t xml:space="preserve">1, </w:t>
            </w:r>
            <w:r w:rsidR="00665FFE" w:rsidRPr="00B06206">
              <w:rPr>
                <w:rFonts w:ascii="Arial" w:hAnsi="Arial"/>
              </w:rPr>
              <w:t>2</w:t>
            </w:r>
          </w:p>
        </w:tc>
        <w:tc>
          <w:tcPr>
            <w:tcW w:w="1183" w:type="dxa"/>
          </w:tcPr>
          <w:p w14:paraId="5A3B9A0B" w14:textId="2CD8F6B0" w:rsidR="00665FFE" w:rsidRPr="00B06206" w:rsidRDefault="00665FFE" w:rsidP="00DF0A4A">
            <w:pPr>
              <w:spacing w:before="960"/>
              <w:rPr>
                <w:rFonts w:ascii="Arial" w:hAnsi="Arial"/>
              </w:rPr>
            </w:pPr>
            <w:r w:rsidRPr="00B06206">
              <w:rPr>
                <w:rFonts w:ascii="Arial" w:hAnsi="Arial"/>
              </w:rPr>
              <w:t>88%</w:t>
            </w:r>
          </w:p>
        </w:tc>
        <w:tc>
          <w:tcPr>
            <w:tcW w:w="1276" w:type="dxa"/>
          </w:tcPr>
          <w:p w14:paraId="39E62351" w14:textId="4A751C5C" w:rsidR="00665FFE" w:rsidRPr="00B06206" w:rsidRDefault="0033359D" w:rsidP="00DF0A4A">
            <w:pPr>
              <w:spacing w:before="960"/>
              <w:rPr>
                <w:rFonts w:ascii="Arial" w:hAnsi="Arial"/>
              </w:rPr>
            </w:pPr>
            <w:r w:rsidRPr="00B06206">
              <w:rPr>
                <w:rFonts w:ascii="Arial" w:hAnsi="Arial"/>
              </w:rPr>
              <w:t>88</w:t>
            </w:r>
            <w:r w:rsidR="00665FFE" w:rsidRPr="00B06206">
              <w:rPr>
                <w:rFonts w:ascii="Arial" w:hAnsi="Arial"/>
              </w:rPr>
              <w:t>%</w:t>
            </w:r>
          </w:p>
        </w:tc>
      </w:tr>
      <w:tr w:rsidR="00665FFE" w:rsidRPr="00B301A4" w14:paraId="2E4DB61A" w14:textId="77777777" w:rsidTr="00367A64">
        <w:trPr>
          <w:trHeight w:val="20"/>
        </w:trPr>
        <w:tc>
          <w:tcPr>
            <w:tcW w:w="6621" w:type="dxa"/>
          </w:tcPr>
          <w:p w14:paraId="3B0C0EB7" w14:textId="3EED04D4" w:rsidR="00665FFE" w:rsidRPr="00B06206" w:rsidRDefault="00665FFE" w:rsidP="00B301A4">
            <w:pPr>
              <w:rPr>
                <w:rFonts w:ascii="Arial" w:hAnsi="Arial"/>
              </w:rPr>
            </w:pPr>
            <w:r w:rsidRPr="00B06206">
              <w:rPr>
                <w:rFonts w:ascii="Arial" w:hAnsi="Arial"/>
              </w:rPr>
              <w:t>Efficiency measure</w:t>
            </w:r>
          </w:p>
        </w:tc>
        <w:tc>
          <w:tcPr>
            <w:tcW w:w="1310" w:type="dxa"/>
          </w:tcPr>
          <w:p w14:paraId="7270867C" w14:textId="0F9823D1" w:rsidR="00665FFE" w:rsidRPr="00B06206" w:rsidRDefault="003248C8" w:rsidP="00B301A4">
            <w:pPr>
              <w:rPr>
                <w:rFonts w:ascii="Arial" w:hAnsi="Arial"/>
              </w:rPr>
            </w:pPr>
            <w:r w:rsidRPr="00B06206">
              <w:rPr>
                <w:rFonts w:ascii="Arial" w:hAnsi="Arial"/>
              </w:rPr>
              <w:t>3</w:t>
            </w:r>
          </w:p>
        </w:tc>
        <w:tc>
          <w:tcPr>
            <w:tcW w:w="1183" w:type="dxa"/>
          </w:tcPr>
          <w:p w14:paraId="503FE51C" w14:textId="24DF327D" w:rsidR="00665FFE" w:rsidRPr="00B06206" w:rsidRDefault="00665FFE" w:rsidP="00B301A4">
            <w:pPr>
              <w:rPr>
                <w:rFonts w:ascii="Arial" w:hAnsi="Arial"/>
              </w:rPr>
            </w:pPr>
          </w:p>
        </w:tc>
        <w:tc>
          <w:tcPr>
            <w:tcW w:w="1276" w:type="dxa"/>
          </w:tcPr>
          <w:p w14:paraId="78213DD3" w14:textId="38D37FEB" w:rsidR="00665FFE" w:rsidRPr="00B06206" w:rsidRDefault="00665FFE" w:rsidP="00B301A4">
            <w:pPr>
              <w:rPr>
                <w:rFonts w:ascii="Arial" w:hAnsi="Arial"/>
              </w:rPr>
            </w:pPr>
          </w:p>
        </w:tc>
      </w:tr>
    </w:tbl>
    <w:p w14:paraId="0224CBB0" w14:textId="77777777" w:rsidR="00665FFE" w:rsidRPr="00B301A4" w:rsidRDefault="00665FFE" w:rsidP="00DF0A4A">
      <w:pPr>
        <w:pStyle w:val="EndnoteText"/>
        <w:spacing w:before="240"/>
      </w:pPr>
      <w:r w:rsidRPr="00B301A4">
        <w:t>Notes:</w:t>
      </w:r>
    </w:p>
    <w:p w14:paraId="58A6E31F" w14:textId="59488A3A" w:rsidR="00665FFE" w:rsidRPr="00B301A4" w:rsidRDefault="00665FFE" w:rsidP="00B301A4">
      <w:pPr>
        <w:pStyle w:val="EndnoteText"/>
        <w:rPr>
          <w:rFonts w:eastAsia="Calibri"/>
        </w:rPr>
      </w:pPr>
      <w:r w:rsidRPr="00B301A4">
        <w:rPr>
          <w:rFonts w:eastAsia="Calibri"/>
        </w:rPr>
        <w:t>1. This service area was previously presented in the former Department of Communities, Disability Services and Seniors</w:t>
      </w:r>
      <w:r w:rsidR="00EA3DE6" w:rsidRPr="00B301A4">
        <w:rPr>
          <w:rFonts w:eastAsia="Calibri"/>
        </w:rPr>
        <w:t>’</w:t>
      </w:r>
      <w:r w:rsidRPr="00B301A4">
        <w:rPr>
          <w:rFonts w:eastAsia="Calibri"/>
        </w:rPr>
        <w:t xml:space="preserve"> </w:t>
      </w:r>
      <w:r w:rsidR="001E5C6A" w:rsidRPr="00B301A4">
        <w:rPr>
          <w:rFonts w:eastAsia="Calibri"/>
        </w:rPr>
        <w:t>2019-2020</w:t>
      </w:r>
      <w:r w:rsidRPr="00B301A4">
        <w:rPr>
          <w:rFonts w:eastAsia="Calibri"/>
        </w:rPr>
        <w:t xml:space="preserve"> Service</w:t>
      </w:r>
    </w:p>
    <w:p w14:paraId="15640158" w14:textId="77777777" w:rsidR="00665FFE" w:rsidRPr="00B301A4" w:rsidRDefault="00665FFE" w:rsidP="00B301A4">
      <w:pPr>
        <w:pStyle w:val="EndnoteText"/>
        <w:rPr>
          <w:rFonts w:eastAsia="Calibri"/>
        </w:rPr>
      </w:pPr>
      <w:r w:rsidRPr="00B301A4">
        <w:rPr>
          <w:rFonts w:eastAsia="Calibri"/>
        </w:rPr>
        <w:t>Delivery Statement.</w:t>
      </w:r>
    </w:p>
    <w:p w14:paraId="15FB54F6" w14:textId="13685935" w:rsidR="00665FFE" w:rsidRPr="00B301A4" w:rsidRDefault="00665FFE" w:rsidP="00B301A4">
      <w:pPr>
        <w:pStyle w:val="EndnoteText"/>
        <w:rPr>
          <w:rFonts w:eastAsia="Calibri"/>
        </w:rPr>
      </w:pPr>
      <w:r w:rsidRPr="00B301A4">
        <w:rPr>
          <w:rFonts w:eastAsia="Calibri"/>
        </w:rPr>
        <w:t>2. This is a proxy measure of the effectiveness in promoting the Seniors Card scheme to applicable stakeholders and forms part of the cost of</w:t>
      </w:r>
      <w:r w:rsidR="008B09CB" w:rsidRPr="00B301A4">
        <w:rPr>
          <w:rFonts w:eastAsia="Calibri"/>
        </w:rPr>
        <w:t xml:space="preserve"> </w:t>
      </w:r>
      <w:r w:rsidRPr="00B301A4">
        <w:rPr>
          <w:rFonts w:eastAsia="Calibri"/>
        </w:rPr>
        <w:t>living strategy. The percentage of eligible seniors with a Seniors Card is calculated by the total number of active cardholders divided by</w:t>
      </w:r>
      <w:r w:rsidR="008B09CB" w:rsidRPr="00B301A4">
        <w:rPr>
          <w:rFonts w:eastAsia="Calibri"/>
        </w:rPr>
        <w:t xml:space="preserve"> </w:t>
      </w:r>
      <w:r w:rsidRPr="00B301A4">
        <w:rPr>
          <w:rFonts w:eastAsia="Calibri"/>
        </w:rPr>
        <w:t>estimated resident population of seniors within Queensland. The estimated resident population is sourced from the Australian Bureau of</w:t>
      </w:r>
    </w:p>
    <w:p w14:paraId="65F70F85" w14:textId="598B07EB" w:rsidR="00665FFE" w:rsidRPr="00B301A4" w:rsidRDefault="00665FFE" w:rsidP="00B301A4">
      <w:pPr>
        <w:pStyle w:val="EndnoteText"/>
        <w:rPr>
          <w:rFonts w:eastAsia="Calibri"/>
        </w:rPr>
      </w:pPr>
      <w:r w:rsidRPr="00B301A4">
        <w:rPr>
          <w:rFonts w:eastAsia="Calibri"/>
        </w:rPr>
        <w:t>Statistics, Report 3101.0 Australian Demographic Statistics. Estimated Resident Population by Single Year of Age, Queensland.</w:t>
      </w:r>
    </w:p>
    <w:p w14:paraId="33447F2B" w14:textId="521B5D52" w:rsidR="00665FFE" w:rsidRPr="00B301A4" w:rsidRDefault="00665FFE" w:rsidP="00B301A4">
      <w:pPr>
        <w:pStyle w:val="EndnoteText"/>
        <w:rPr>
          <w:rFonts w:eastAsia="Calibri"/>
        </w:rPr>
      </w:pPr>
      <w:r w:rsidRPr="00B301A4">
        <w:rPr>
          <w:rFonts w:eastAsia="Calibri"/>
        </w:rPr>
        <w:t>3. An efficiency measure is being developed and will be included in a future Service Delivery Statement.</w:t>
      </w:r>
    </w:p>
    <w:p w14:paraId="2C2512DC" w14:textId="77777777" w:rsidR="00B301A4" w:rsidRDefault="00B301A4">
      <w:pPr>
        <w:spacing w:after="0" w:line="240" w:lineRule="auto"/>
        <w:rPr>
          <w:rFonts w:eastAsia="Calibri"/>
          <w:bCs/>
          <w:color w:val="7F7F7F"/>
          <w:sz w:val="26"/>
          <w:szCs w:val="26"/>
          <w:lang w:eastAsia="en-US"/>
        </w:rPr>
      </w:pPr>
      <w:r>
        <w:rPr>
          <w:rFonts w:eastAsia="Calibri"/>
        </w:rPr>
        <w:br w:type="page"/>
      </w:r>
    </w:p>
    <w:p w14:paraId="45BBB53C" w14:textId="0E74A686" w:rsidR="00665FFE" w:rsidRPr="00B301A4" w:rsidRDefault="00B301A4" w:rsidP="00B301A4">
      <w:pPr>
        <w:pStyle w:val="Heading3"/>
        <w:rPr>
          <w:rFonts w:eastAsia="Calibri"/>
        </w:rPr>
      </w:pPr>
      <w:r w:rsidRPr="00B301A4">
        <w:rPr>
          <w:rFonts w:eastAsia="Calibri"/>
        </w:rPr>
        <w:lastRenderedPageBreak/>
        <w:t>Disability Services</w:t>
      </w:r>
    </w:p>
    <w:tbl>
      <w:tblPr>
        <w:tblStyle w:val="TableGrid1"/>
        <w:tblW w:w="10495" w:type="dxa"/>
        <w:tblInd w:w="-5" w:type="dxa"/>
        <w:tblLayout w:type="fixed"/>
        <w:tblCellMar>
          <w:left w:w="0" w:type="dxa"/>
          <w:right w:w="0" w:type="dxa"/>
        </w:tblCellMar>
        <w:tblLook w:val="01E0" w:firstRow="1" w:lastRow="1" w:firstColumn="1" w:lastColumn="1" w:noHBand="0" w:noVBand="0"/>
      </w:tblPr>
      <w:tblGrid>
        <w:gridCol w:w="6726"/>
        <w:gridCol w:w="1310"/>
        <w:gridCol w:w="1183"/>
        <w:gridCol w:w="1276"/>
      </w:tblGrid>
      <w:tr w:rsidR="006445D9" w:rsidRPr="00B301A4" w14:paraId="48899AED" w14:textId="77777777" w:rsidTr="00DF0A4A">
        <w:trPr>
          <w:trHeight w:val="20"/>
          <w:tblHeader/>
        </w:trPr>
        <w:tc>
          <w:tcPr>
            <w:tcW w:w="6726" w:type="dxa"/>
            <w:shd w:val="clear" w:color="auto" w:fill="939598"/>
          </w:tcPr>
          <w:p w14:paraId="1C1CFE42" w14:textId="60C4BF5D" w:rsidR="006445D9" w:rsidRPr="00B06206" w:rsidRDefault="00B301A4" w:rsidP="00DF0A4A">
            <w:pPr>
              <w:spacing w:before="480"/>
              <w:rPr>
                <w:rFonts w:ascii="Arial" w:hAnsi="Arial"/>
              </w:rPr>
            </w:pPr>
            <w:r w:rsidRPr="00B06206">
              <w:rPr>
                <w:rFonts w:ascii="Arial" w:hAnsi="Arial"/>
              </w:rPr>
              <w:t xml:space="preserve">Department </w:t>
            </w:r>
            <w:r w:rsidR="00167DC4" w:rsidRPr="00B06206">
              <w:rPr>
                <w:rFonts w:ascii="Arial" w:hAnsi="Arial"/>
              </w:rPr>
              <w:t>o</w:t>
            </w:r>
            <w:r w:rsidRPr="00B06206">
              <w:rPr>
                <w:rFonts w:ascii="Arial" w:hAnsi="Arial"/>
              </w:rPr>
              <w:t>f Seniors, Disability Services and Aboriginal and Torres Strait Islander Partnerships</w:t>
            </w:r>
          </w:p>
        </w:tc>
        <w:tc>
          <w:tcPr>
            <w:tcW w:w="1310" w:type="dxa"/>
            <w:shd w:val="clear" w:color="auto" w:fill="939598"/>
          </w:tcPr>
          <w:p w14:paraId="4CAF92A7" w14:textId="0293B754" w:rsidR="006445D9" w:rsidRPr="00B06206" w:rsidRDefault="00B301A4" w:rsidP="00DF0A4A">
            <w:pPr>
              <w:spacing w:before="480"/>
              <w:rPr>
                <w:rFonts w:ascii="Arial" w:hAnsi="Arial"/>
              </w:rPr>
            </w:pPr>
            <w:r w:rsidRPr="00B06206">
              <w:rPr>
                <w:rFonts w:ascii="Arial" w:hAnsi="Arial"/>
              </w:rPr>
              <w:t>Notes</w:t>
            </w:r>
          </w:p>
        </w:tc>
        <w:tc>
          <w:tcPr>
            <w:tcW w:w="1183" w:type="dxa"/>
            <w:shd w:val="clear" w:color="auto" w:fill="939598"/>
          </w:tcPr>
          <w:p w14:paraId="0699E950" w14:textId="57FFF47A" w:rsidR="006445D9" w:rsidRPr="00B06206" w:rsidRDefault="00B301A4" w:rsidP="00B301A4">
            <w:pPr>
              <w:rPr>
                <w:rFonts w:ascii="Arial" w:hAnsi="Arial"/>
              </w:rPr>
            </w:pPr>
            <w:r w:rsidRPr="00B06206">
              <w:rPr>
                <w:rFonts w:ascii="Arial" w:hAnsi="Arial"/>
              </w:rPr>
              <w:t>2020-2021</w:t>
            </w:r>
          </w:p>
          <w:p w14:paraId="599850F7" w14:textId="6FD3C7BA" w:rsidR="006445D9" w:rsidRPr="00B06206" w:rsidRDefault="00B301A4" w:rsidP="00B301A4">
            <w:pPr>
              <w:rPr>
                <w:rFonts w:ascii="Arial" w:hAnsi="Arial"/>
              </w:rPr>
            </w:pPr>
            <w:r w:rsidRPr="00B06206">
              <w:rPr>
                <w:rFonts w:ascii="Arial" w:hAnsi="Arial"/>
              </w:rPr>
              <w:t>Target/est.</w:t>
            </w:r>
          </w:p>
        </w:tc>
        <w:tc>
          <w:tcPr>
            <w:tcW w:w="1276" w:type="dxa"/>
            <w:shd w:val="clear" w:color="auto" w:fill="939598"/>
          </w:tcPr>
          <w:p w14:paraId="436708B2" w14:textId="5FB04E24" w:rsidR="006445D9" w:rsidRPr="00B06206" w:rsidRDefault="00B301A4" w:rsidP="00B301A4">
            <w:pPr>
              <w:rPr>
                <w:rFonts w:ascii="Arial" w:hAnsi="Arial"/>
              </w:rPr>
            </w:pPr>
            <w:r w:rsidRPr="00B06206">
              <w:rPr>
                <w:rFonts w:ascii="Arial" w:hAnsi="Arial"/>
              </w:rPr>
              <w:t xml:space="preserve">2020-2021 </w:t>
            </w:r>
          </w:p>
          <w:p w14:paraId="62C55CE5" w14:textId="6FEF9F8A" w:rsidR="006445D9" w:rsidRPr="00B06206" w:rsidRDefault="00B301A4" w:rsidP="00B301A4">
            <w:pPr>
              <w:rPr>
                <w:rFonts w:ascii="Arial" w:hAnsi="Arial"/>
                <w:highlight w:val="yellow"/>
              </w:rPr>
            </w:pPr>
            <w:r w:rsidRPr="00B06206">
              <w:rPr>
                <w:rFonts w:ascii="Arial" w:hAnsi="Arial"/>
              </w:rPr>
              <w:t>Actual</w:t>
            </w:r>
            <w:r w:rsidR="004902B8" w:rsidRPr="00B06206">
              <w:rPr>
                <w:rFonts w:ascii="Arial" w:hAnsi="Arial"/>
              </w:rPr>
              <w:t xml:space="preserve"> </w:t>
            </w:r>
            <w:r w:rsidRPr="00B06206">
              <w:rPr>
                <w:rFonts w:ascii="Arial" w:hAnsi="Arial"/>
              </w:rPr>
              <w:t xml:space="preserve">(1 </w:t>
            </w:r>
            <w:r w:rsidR="00167DC4" w:rsidRPr="00B06206">
              <w:rPr>
                <w:rFonts w:ascii="Arial" w:hAnsi="Arial"/>
              </w:rPr>
              <w:t>July</w:t>
            </w:r>
            <w:r w:rsidRPr="00B06206">
              <w:rPr>
                <w:rFonts w:ascii="Arial" w:hAnsi="Arial"/>
              </w:rPr>
              <w:t xml:space="preserve"> 2020</w:t>
            </w:r>
            <w:r w:rsidR="0073373B" w:rsidRPr="00B06206">
              <w:rPr>
                <w:rFonts w:ascii="Arial" w:hAnsi="Arial"/>
              </w:rPr>
              <w:t xml:space="preserve"> to </w:t>
            </w:r>
            <w:r w:rsidRPr="00B06206">
              <w:rPr>
                <w:rFonts w:ascii="Arial" w:hAnsi="Arial"/>
              </w:rPr>
              <w:t xml:space="preserve">30 </w:t>
            </w:r>
            <w:r w:rsidR="00167DC4" w:rsidRPr="00B06206">
              <w:rPr>
                <w:rFonts w:ascii="Arial" w:hAnsi="Arial"/>
              </w:rPr>
              <w:t>June</w:t>
            </w:r>
            <w:r w:rsidRPr="00B06206">
              <w:rPr>
                <w:rFonts w:ascii="Arial" w:hAnsi="Arial"/>
              </w:rPr>
              <w:t xml:space="preserve"> 2021)</w:t>
            </w:r>
          </w:p>
        </w:tc>
      </w:tr>
      <w:tr w:rsidR="006445D9" w:rsidRPr="00B301A4" w14:paraId="1BA28C79" w14:textId="77777777" w:rsidTr="00932845">
        <w:trPr>
          <w:trHeight w:val="20"/>
        </w:trPr>
        <w:tc>
          <w:tcPr>
            <w:tcW w:w="10495" w:type="dxa"/>
            <w:gridSpan w:val="4"/>
            <w:shd w:val="clear" w:color="auto" w:fill="D1D3D4"/>
          </w:tcPr>
          <w:p w14:paraId="620958DA" w14:textId="4F680EF5" w:rsidR="006445D9" w:rsidRPr="00B06206" w:rsidRDefault="00B301A4" w:rsidP="00B301A4">
            <w:pPr>
              <w:rPr>
                <w:rFonts w:ascii="Arial" w:hAnsi="Arial"/>
              </w:rPr>
            </w:pPr>
            <w:r w:rsidRPr="00B06206">
              <w:rPr>
                <w:rFonts w:ascii="Arial" w:hAnsi="Arial"/>
              </w:rPr>
              <w:t>Service Area: Disability Services</w:t>
            </w:r>
            <w:r w:rsidRPr="00B06206">
              <w:rPr>
                <w:rFonts w:ascii="Arial" w:hAnsi="Arial"/>
                <w:vertAlign w:val="superscript"/>
              </w:rPr>
              <w:t>1</w:t>
            </w:r>
          </w:p>
        </w:tc>
      </w:tr>
      <w:tr w:rsidR="006445D9" w:rsidRPr="00B301A4" w14:paraId="2D773190" w14:textId="77777777" w:rsidTr="00932845">
        <w:trPr>
          <w:trHeight w:val="20"/>
        </w:trPr>
        <w:tc>
          <w:tcPr>
            <w:tcW w:w="6726" w:type="dxa"/>
          </w:tcPr>
          <w:p w14:paraId="45F3B94D" w14:textId="77777777" w:rsidR="006445D9" w:rsidRPr="00B06206" w:rsidRDefault="006445D9" w:rsidP="00B301A4">
            <w:pPr>
              <w:rPr>
                <w:rFonts w:ascii="Arial" w:hAnsi="Arial"/>
              </w:rPr>
            </w:pPr>
            <w:r w:rsidRPr="00B06206">
              <w:rPr>
                <w:rFonts w:ascii="Arial" w:hAnsi="Arial"/>
              </w:rPr>
              <w:t>Service standards</w:t>
            </w:r>
          </w:p>
          <w:p w14:paraId="3218936B" w14:textId="77777777" w:rsidR="006445D9" w:rsidRPr="00B06206" w:rsidRDefault="006445D9" w:rsidP="00B301A4">
            <w:pPr>
              <w:rPr>
                <w:rFonts w:ascii="Arial" w:hAnsi="Arial"/>
              </w:rPr>
            </w:pPr>
            <w:r w:rsidRPr="00B06206">
              <w:rPr>
                <w:rFonts w:ascii="Arial" w:hAnsi="Arial"/>
              </w:rPr>
              <w:t>Effectiveness measures</w:t>
            </w:r>
          </w:p>
          <w:p w14:paraId="73DC3E8B" w14:textId="7F5EBA8D" w:rsidR="006445D9" w:rsidRPr="00B06206" w:rsidRDefault="006445D9" w:rsidP="00B301A4">
            <w:pPr>
              <w:rPr>
                <w:rFonts w:ascii="Arial" w:hAnsi="Arial"/>
              </w:rPr>
            </w:pPr>
            <w:r w:rsidRPr="00B06206">
              <w:rPr>
                <w:rFonts w:ascii="Arial" w:hAnsi="Arial"/>
              </w:rPr>
              <w:t>Number of people with disability receiving departmental</w:t>
            </w:r>
            <w:r w:rsidR="001B5502" w:rsidRPr="00B06206">
              <w:rPr>
                <w:rFonts w:ascii="Arial" w:hAnsi="Arial"/>
              </w:rPr>
              <w:t xml:space="preserve"> </w:t>
            </w:r>
            <w:r w:rsidR="00B55868" w:rsidRPr="00B06206">
              <w:rPr>
                <w:rFonts w:ascii="Arial" w:hAnsi="Arial"/>
              </w:rPr>
              <w:t>a</w:t>
            </w:r>
            <w:r w:rsidRPr="00B06206">
              <w:rPr>
                <w:rFonts w:ascii="Arial" w:hAnsi="Arial"/>
              </w:rPr>
              <w:t>ccommodation</w:t>
            </w:r>
            <w:r w:rsidR="00B55868" w:rsidRPr="00B06206">
              <w:rPr>
                <w:rFonts w:ascii="Arial" w:hAnsi="Arial"/>
              </w:rPr>
              <w:t xml:space="preserve"> and</w:t>
            </w:r>
            <w:r w:rsidRPr="00B06206">
              <w:rPr>
                <w:rFonts w:ascii="Arial" w:hAnsi="Arial"/>
              </w:rPr>
              <w:t xml:space="preserve"> support services</w:t>
            </w:r>
          </w:p>
        </w:tc>
        <w:tc>
          <w:tcPr>
            <w:tcW w:w="1310" w:type="dxa"/>
          </w:tcPr>
          <w:p w14:paraId="0D3DC633" w14:textId="0396138A" w:rsidR="006445D9" w:rsidRPr="00B06206" w:rsidRDefault="0039178E" w:rsidP="00DF0A4A">
            <w:pPr>
              <w:spacing w:before="1200"/>
              <w:rPr>
                <w:rFonts w:ascii="Arial" w:hAnsi="Arial"/>
              </w:rPr>
            </w:pPr>
            <w:r w:rsidRPr="00B06206">
              <w:rPr>
                <w:rFonts w:ascii="Arial" w:hAnsi="Arial"/>
              </w:rPr>
              <w:t xml:space="preserve">1, </w:t>
            </w:r>
            <w:r w:rsidR="006445D9" w:rsidRPr="00B06206">
              <w:rPr>
                <w:rFonts w:ascii="Arial" w:hAnsi="Arial"/>
              </w:rPr>
              <w:t>2</w:t>
            </w:r>
            <w:r w:rsidR="008001A6" w:rsidRPr="00B06206">
              <w:rPr>
                <w:rFonts w:ascii="Arial" w:hAnsi="Arial"/>
              </w:rPr>
              <w:t>, 3</w:t>
            </w:r>
          </w:p>
        </w:tc>
        <w:tc>
          <w:tcPr>
            <w:tcW w:w="1183" w:type="dxa"/>
          </w:tcPr>
          <w:p w14:paraId="210FB02A" w14:textId="45761DDD" w:rsidR="006445D9" w:rsidRPr="00B06206" w:rsidRDefault="006445D9" w:rsidP="00DF0A4A">
            <w:pPr>
              <w:spacing w:before="1200"/>
              <w:rPr>
                <w:rFonts w:ascii="Arial" w:hAnsi="Arial"/>
              </w:rPr>
            </w:pPr>
            <w:r w:rsidRPr="00B06206">
              <w:rPr>
                <w:rFonts w:ascii="Arial" w:hAnsi="Arial"/>
              </w:rPr>
              <w:t>882</w:t>
            </w:r>
          </w:p>
        </w:tc>
        <w:tc>
          <w:tcPr>
            <w:tcW w:w="1276" w:type="dxa"/>
          </w:tcPr>
          <w:p w14:paraId="6E64D61E" w14:textId="4B6A1ABD" w:rsidR="006445D9" w:rsidRPr="00B06206" w:rsidRDefault="00A11EBD" w:rsidP="00DF0A4A">
            <w:pPr>
              <w:spacing w:before="1200"/>
              <w:rPr>
                <w:rFonts w:ascii="Arial" w:hAnsi="Arial"/>
              </w:rPr>
            </w:pPr>
            <w:r w:rsidRPr="00B06206">
              <w:rPr>
                <w:rFonts w:ascii="Arial" w:hAnsi="Arial"/>
              </w:rPr>
              <w:t>824</w:t>
            </w:r>
          </w:p>
        </w:tc>
      </w:tr>
      <w:tr w:rsidR="006445D9" w:rsidRPr="00B301A4" w14:paraId="3289CAE8" w14:textId="77777777" w:rsidTr="00932845">
        <w:trPr>
          <w:trHeight w:val="20"/>
        </w:trPr>
        <w:tc>
          <w:tcPr>
            <w:tcW w:w="6726" w:type="dxa"/>
          </w:tcPr>
          <w:p w14:paraId="50B5341C" w14:textId="7B8AD1ED" w:rsidR="006445D9" w:rsidRPr="00B06206" w:rsidRDefault="006445D9" w:rsidP="00B301A4">
            <w:pPr>
              <w:rPr>
                <w:rFonts w:ascii="Arial" w:hAnsi="Arial"/>
              </w:rPr>
            </w:pPr>
            <w:r w:rsidRPr="00B06206">
              <w:rPr>
                <w:rFonts w:ascii="Arial" w:hAnsi="Arial"/>
              </w:rPr>
              <w:t>Efficiency measure</w:t>
            </w:r>
          </w:p>
          <w:p w14:paraId="529CE4FF" w14:textId="7027B8E4" w:rsidR="006445D9" w:rsidRPr="00B06206" w:rsidRDefault="006445D9" w:rsidP="00B301A4">
            <w:pPr>
              <w:rPr>
                <w:rFonts w:ascii="Arial" w:hAnsi="Arial"/>
              </w:rPr>
            </w:pPr>
            <w:r w:rsidRPr="00B06206">
              <w:rPr>
                <w:rFonts w:ascii="Arial" w:hAnsi="Arial"/>
              </w:rPr>
              <w:t>Percentage of approved accommodation support places used</w:t>
            </w:r>
          </w:p>
        </w:tc>
        <w:tc>
          <w:tcPr>
            <w:tcW w:w="1310" w:type="dxa"/>
          </w:tcPr>
          <w:p w14:paraId="6809E7C5" w14:textId="337266C3" w:rsidR="006445D9" w:rsidRPr="00B06206" w:rsidRDefault="008001A6" w:rsidP="00DF0A4A">
            <w:pPr>
              <w:spacing w:before="480"/>
              <w:rPr>
                <w:rFonts w:ascii="Arial" w:hAnsi="Arial"/>
              </w:rPr>
            </w:pPr>
            <w:r w:rsidRPr="00B06206">
              <w:rPr>
                <w:rFonts w:ascii="Arial" w:hAnsi="Arial"/>
              </w:rPr>
              <w:t>4</w:t>
            </w:r>
          </w:p>
        </w:tc>
        <w:tc>
          <w:tcPr>
            <w:tcW w:w="1183" w:type="dxa"/>
          </w:tcPr>
          <w:p w14:paraId="5F0D684D" w14:textId="50EE7772" w:rsidR="00BE076F" w:rsidRPr="00B06206" w:rsidRDefault="00BE076F" w:rsidP="00DF0A4A">
            <w:pPr>
              <w:spacing w:before="480"/>
              <w:rPr>
                <w:rFonts w:ascii="Arial" w:hAnsi="Arial"/>
              </w:rPr>
            </w:pPr>
            <w:r w:rsidRPr="00B06206">
              <w:rPr>
                <w:rFonts w:ascii="Arial" w:hAnsi="Arial"/>
              </w:rPr>
              <w:t>80%</w:t>
            </w:r>
          </w:p>
        </w:tc>
        <w:tc>
          <w:tcPr>
            <w:tcW w:w="1276" w:type="dxa"/>
          </w:tcPr>
          <w:p w14:paraId="206735DB" w14:textId="6CA48350" w:rsidR="00BE076F" w:rsidRPr="00B06206" w:rsidRDefault="002352D0" w:rsidP="00DF0A4A">
            <w:pPr>
              <w:spacing w:before="480"/>
              <w:rPr>
                <w:rFonts w:ascii="Arial" w:hAnsi="Arial"/>
              </w:rPr>
            </w:pPr>
            <w:r w:rsidRPr="00B06206">
              <w:rPr>
                <w:rFonts w:ascii="Arial" w:hAnsi="Arial"/>
              </w:rPr>
              <w:t>77</w:t>
            </w:r>
            <w:r w:rsidR="00BE076F" w:rsidRPr="00B06206">
              <w:rPr>
                <w:rFonts w:ascii="Arial" w:hAnsi="Arial"/>
              </w:rPr>
              <w:t>%</w:t>
            </w:r>
          </w:p>
        </w:tc>
      </w:tr>
    </w:tbl>
    <w:p w14:paraId="57214A4D" w14:textId="77777777" w:rsidR="006445D9" w:rsidRPr="00B301A4" w:rsidRDefault="006445D9" w:rsidP="00DF0A4A">
      <w:pPr>
        <w:pStyle w:val="EndnoteText"/>
        <w:spacing w:before="240"/>
      </w:pPr>
      <w:r w:rsidRPr="00B301A4">
        <w:t>Notes:</w:t>
      </w:r>
    </w:p>
    <w:p w14:paraId="5EE560C2" w14:textId="77777777" w:rsidR="008001A6" w:rsidRPr="002E4FE2" w:rsidRDefault="008001A6" w:rsidP="002E4FE2">
      <w:pPr>
        <w:pStyle w:val="EndnoteText"/>
        <w:rPr>
          <w:rFonts w:eastAsia="Calibri"/>
        </w:rPr>
      </w:pPr>
      <w:r w:rsidRPr="002E4FE2">
        <w:rPr>
          <w:rFonts w:eastAsia="Calibri"/>
        </w:rPr>
        <w:t>1 This service area was previously presented in the former Department of Communities, Disability Services and Seniors’ 2019–</w:t>
      </w:r>
    </w:p>
    <w:p w14:paraId="20BDC98C" w14:textId="77777777" w:rsidR="008001A6" w:rsidRPr="002E4FE2" w:rsidRDefault="008001A6" w:rsidP="002E4FE2">
      <w:pPr>
        <w:pStyle w:val="EndnoteText"/>
        <w:rPr>
          <w:rFonts w:eastAsia="Calibri"/>
        </w:rPr>
      </w:pPr>
      <w:r w:rsidRPr="002E4FE2">
        <w:rPr>
          <w:rFonts w:eastAsia="Calibri"/>
        </w:rPr>
        <w:t>2020 Service Delivery Statement.</w:t>
      </w:r>
    </w:p>
    <w:p w14:paraId="2BE9B5E2" w14:textId="77777777" w:rsidR="008001A6" w:rsidRPr="002E4FE2" w:rsidRDefault="008001A6" w:rsidP="002E4FE2">
      <w:pPr>
        <w:pStyle w:val="EndnoteText"/>
        <w:rPr>
          <w:rFonts w:eastAsia="Calibri"/>
        </w:rPr>
      </w:pPr>
      <w:r w:rsidRPr="002E4FE2">
        <w:rPr>
          <w:rFonts w:eastAsia="Calibri"/>
        </w:rPr>
        <w:t>2 People with disability exercise choice and control in receiving their accommodation support services from the department,</w:t>
      </w:r>
    </w:p>
    <w:p w14:paraId="3FF37784" w14:textId="77777777" w:rsidR="008001A6" w:rsidRPr="002E4FE2" w:rsidRDefault="008001A6" w:rsidP="002E4FE2">
      <w:pPr>
        <w:pStyle w:val="EndnoteText"/>
        <w:rPr>
          <w:rFonts w:eastAsia="Calibri"/>
        </w:rPr>
      </w:pPr>
      <w:r w:rsidRPr="002E4FE2">
        <w:rPr>
          <w:rFonts w:eastAsia="Calibri"/>
        </w:rPr>
        <w:t>a non-government organisation or a private organisation. This service standard records the annual number of people</w:t>
      </w:r>
    </w:p>
    <w:p w14:paraId="7A3CE9AD" w14:textId="77777777" w:rsidR="008001A6" w:rsidRPr="002E4FE2" w:rsidRDefault="008001A6" w:rsidP="002E4FE2">
      <w:pPr>
        <w:pStyle w:val="EndnoteText"/>
        <w:rPr>
          <w:rFonts w:eastAsia="Calibri"/>
        </w:rPr>
      </w:pPr>
      <w:r w:rsidRPr="002E4FE2">
        <w:rPr>
          <w:rFonts w:eastAsia="Calibri"/>
        </w:rPr>
        <w:t>with disability who have received accommodation support services provided by the department, including shared living</w:t>
      </w:r>
    </w:p>
    <w:p w14:paraId="0DDD932D" w14:textId="77777777" w:rsidR="008001A6" w:rsidRPr="002E4FE2" w:rsidRDefault="008001A6" w:rsidP="002E4FE2">
      <w:pPr>
        <w:pStyle w:val="EndnoteText"/>
        <w:rPr>
          <w:rFonts w:eastAsia="Calibri"/>
        </w:rPr>
      </w:pPr>
      <w:r w:rsidRPr="002E4FE2">
        <w:rPr>
          <w:rFonts w:eastAsia="Calibri"/>
        </w:rPr>
        <w:t>arrangements and short-term accommodation support or respite. This is a proxy measure of the effectiveness of the</w:t>
      </w:r>
    </w:p>
    <w:p w14:paraId="0863EC9C" w14:textId="77777777" w:rsidR="008001A6" w:rsidRPr="002E4FE2" w:rsidRDefault="008001A6" w:rsidP="002E4FE2">
      <w:pPr>
        <w:pStyle w:val="EndnoteText"/>
        <w:rPr>
          <w:rFonts w:eastAsia="Calibri"/>
        </w:rPr>
      </w:pPr>
      <w:r w:rsidRPr="002E4FE2">
        <w:rPr>
          <w:rFonts w:eastAsia="Calibri"/>
        </w:rPr>
        <w:t>department’s services in supporting safe and independent living.</w:t>
      </w:r>
    </w:p>
    <w:p w14:paraId="47D6313F" w14:textId="40ABA370" w:rsidR="008001A6" w:rsidRPr="002E4FE2" w:rsidRDefault="008001A6" w:rsidP="002E4FE2">
      <w:pPr>
        <w:pStyle w:val="EndnoteText"/>
        <w:rPr>
          <w:rFonts w:eastAsia="Calibri"/>
        </w:rPr>
      </w:pPr>
      <w:r w:rsidRPr="002E4FE2">
        <w:rPr>
          <w:rFonts w:eastAsia="Calibri"/>
        </w:rPr>
        <w:t>3 The variance between the 2020-2021 target/estimate and the 2020-2021 actual was due to clients’ ability to exercise choice and control in selecting service providers, consistent with the principles of the NDIS. As the NDIS support market grows and there are new services and new options, clients and clients’ families or guardians have more choice in who provides their supports and how they access these supports.</w:t>
      </w:r>
    </w:p>
    <w:p w14:paraId="7F2C0D89" w14:textId="77777777" w:rsidR="008001A6" w:rsidRPr="002E4FE2" w:rsidRDefault="008001A6" w:rsidP="002E4FE2">
      <w:pPr>
        <w:pStyle w:val="EndnoteText"/>
        <w:rPr>
          <w:rFonts w:eastAsia="Calibri"/>
        </w:rPr>
      </w:pPr>
      <w:r w:rsidRPr="002E4FE2">
        <w:rPr>
          <w:rFonts w:eastAsia="Calibri"/>
        </w:rPr>
        <w:t>4 This utilisation measure records the number of people receiving accommodation support services as a proportion of the</w:t>
      </w:r>
    </w:p>
    <w:p w14:paraId="581034D5" w14:textId="77777777" w:rsidR="008001A6" w:rsidRPr="002E4FE2" w:rsidRDefault="008001A6" w:rsidP="002E4FE2">
      <w:pPr>
        <w:pStyle w:val="EndnoteText"/>
        <w:rPr>
          <w:rFonts w:eastAsia="Calibri"/>
        </w:rPr>
      </w:pPr>
      <w:r w:rsidRPr="002E4FE2">
        <w:rPr>
          <w:rFonts w:eastAsia="Calibri"/>
        </w:rPr>
        <w:t>number of approved places, including shared living arrangements and short-term accommodation support (or respite).</w:t>
      </w:r>
    </w:p>
    <w:p w14:paraId="00C7B729" w14:textId="77777777" w:rsidR="008001A6" w:rsidRPr="002E4FE2" w:rsidRDefault="008001A6" w:rsidP="002E4FE2">
      <w:pPr>
        <w:pStyle w:val="EndnoteText"/>
        <w:rPr>
          <w:rFonts w:eastAsia="Calibri"/>
        </w:rPr>
      </w:pPr>
      <w:r w:rsidRPr="002E4FE2">
        <w:rPr>
          <w:rFonts w:eastAsia="Calibri"/>
        </w:rPr>
        <w:t>Usage rates below full capacity are required to enable people to trial and enter and exit accommodation places that are</w:t>
      </w:r>
    </w:p>
    <w:p w14:paraId="08CA42F7" w14:textId="77777777" w:rsidR="008001A6" w:rsidRPr="002E4FE2" w:rsidRDefault="008001A6" w:rsidP="002E4FE2">
      <w:pPr>
        <w:pStyle w:val="EndnoteText"/>
        <w:rPr>
          <w:rFonts w:eastAsia="Calibri"/>
        </w:rPr>
      </w:pPr>
      <w:r w:rsidRPr="002E4FE2">
        <w:rPr>
          <w:rFonts w:eastAsia="Calibri"/>
        </w:rPr>
        <w:t>well-maintained and re-equipped between usage to ensure the wellbeing of clients and staff. Rates below full capacity are</w:t>
      </w:r>
    </w:p>
    <w:p w14:paraId="5277B182" w14:textId="77777777" w:rsidR="008001A6" w:rsidRPr="002E4FE2" w:rsidRDefault="008001A6" w:rsidP="002E4FE2">
      <w:pPr>
        <w:pStyle w:val="EndnoteText"/>
        <w:rPr>
          <w:rFonts w:eastAsia="Calibri"/>
        </w:rPr>
      </w:pPr>
      <w:r w:rsidRPr="002E4FE2">
        <w:rPr>
          <w:rFonts w:eastAsia="Calibri"/>
        </w:rPr>
        <w:t>also expected as a) market growth in the number and range of supports is encouraged with the implementation of the NDIS</w:t>
      </w:r>
    </w:p>
    <w:p w14:paraId="616942C4" w14:textId="7860C6D0" w:rsidR="00BE076F" w:rsidRPr="002E4FE2" w:rsidRDefault="008001A6" w:rsidP="002E4FE2">
      <w:pPr>
        <w:pStyle w:val="EndnoteText"/>
        <w:rPr>
          <w:rFonts w:eastAsia="Calibri"/>
        </w:rPr>
      </w:pPr>
      <w:r w:rsidRPr="002E4FE2">
        <w:rPr>
          <w:rFonts w:eastAsia="Calibri"/>
        </w:rPr>
        <w:t>meaning that</w:t>
      </w:r>
      <w:proofErr w:type="gramStart"/>
      <w:r w:rsidRPr="002E4FE2">
        <w:rPr>
          <w:rFonts w:eastAsia="Calibri"/>
        </w:rPr>
        <w:t>, in particular, people</w:t>
      </w:r>
      <w:proofErr w:type="gramEnd"/>
      <w:r w:rsidRPr="002E4FE2">
        <w:rPr>
          <w:rFonts w:eastAsia="Calibri"/>
        </w:rPr>
        <w:t xml:space="preserve"> may choose different types of services that provide a respite-type effect for carers (other than short-term accommodation support) and b) the department operates within the principle of competitive neutrality.</w:t>
      </w:r>
    </w:p>
    <w:p w14:paraId="7C178681" w14:textId="77777777" w:rsidR="00B301A4" w:rsidRPr="002E4FE2" w:rsidRDefault="00B301A4" w:rsidP="002E4FE2">
      <w:pPr>
        <w:pStyle w:val="EndnoteText"/>
        <w:rPr>
          <w:rFonts w:eastAsia="Calibri"/>
        </w:rPr>
      </w:pPr>
      <w:r>
        <w:rPr>
          <w:rFonts w:eastAsia="Calibri"/>
        </w:rPr>
        <w:br w:type="page"/>
      </w:r>
    </w:p>
    <w:p w14:paraId="4D9BA114" w14:textId="6042C1F4" w:rsidR="003248C8" w:rsidRPr="00B301A4" w:rsidRDefault="00B301A4" w:rsidP="00DF0A4A">
      <w:pPr>
        <w:pStyle w:val="Heading3"/>
        <w:spacing w:after="240"/>
        <w:rPr>
          <w:rFonts w:eastAsia="Calibri"/>
        </w:rPr>
      </w:pPr>
      <w:r w:rsidRPr="00B301A4">
        <w:rPr>
          <w:rFonts w:eastAsia="Calibri"/>
        </w:rPr>
        <w:lastRenderedPageBreak/>
        <w:t xml:space="preserve">Aboriginal </w:t>
      </w:r>
      <w:r>
        <w:rPr>
          <w:rFonts w:eastAsia="Calibri"/>
        </w:rPr>
        <w:t>a</w:t>
      </w:r>
      <w:r w:rsidRPr="00B301A4">
        <w:rPr>
          <w:rFonts w:eastAsia="Calibri"/>
        </w:rPr>
        <w:t>nd Torres Strait Islander Partnerships – Economic Participation</w:t>
      </w:r>
    </w:p>
    <w:tbl>
      <w:tblPr>
        <w:tblStyle w:val="TableGrid1"/>
        <w:tblW w:w="10495" w:type="dxa"/>
        <w:tblInd w:w="-5" w:type="dxa"/>
        <w:tblLayout w:type="fixed"/>
        <w:tblCellMar>
          <w:left w:w="0" w:type="dxa"/>
          <w:right w:w="0" w:type="dxa"/>
        </w:tblCellMar>
        <w:tblLook w:val="01E0" w:firstRow="1" w:lastRow="1" w:firstColumn="1" w:lastColumn="1" w:noHBand="0" w:noVBand="0"/>
      </w:tblPr>
      <w:tblGrid>
        <w:gridCol w:w="6726"/>
        <w:gridCol w:w="1310"/>
        <w:gridCol w:w="1183"/>
        <w:gridCol w:w="1276"/>
      </w:tblGrid>
      <w:tr w:rsidR="00367A64" w:rsidRPr="00B301A4" w14:paraId="2860C07F" w14:textId="77777777" w:rsidTr="00DF0A4A">
        <w:trPr>
          <w:trHeight w:val="20"/>
          <w:tblHeader/>
        </w:trPr>
        <w:tc>
          <w:tcPr>
            <w:tcW w:w="6726" w:type="dxa"/>
            <w:shd w:val="clear" w:color="auto" w:fill="939598"/>
          </w:tcPr>
          <w:p w14:paraId="5F4DB5D7" w14:textId="68D4B643" w:rsidR="00367A64" w:rsidRPr="00B06206" w:rsidRDefault="00367A64" w:rsidP="00DF0A4A">
            <w:pPr>
              <w:spacing w:before="480"/>
              <w:rPr>
                <w:rFonts w:ascii="Arial" w:hAnsi="Arial"/>
              </w:rPr>
            </w:pPr>
            <w:r w:rsidRPr="00B06206">
              <w:rPr>
                <w:rFonts w:ascii="Arial" w:hAnsi="Arial"/>
              </w:rPr>
              <w:t xml:space="preserve">Department </w:t>
            </w:r>
            <w:r w:rsidR="00391F86" w:rsidRPr="00B06206">
              <w:rPr>
                <w:rFonts w:ascii="Arial" w:hAnsi="Arial"/>
              </w:rPr>
              <w:t>o</w:t>
            </w:r>
            <w:r w:rsidRPr="00B06206">
              <w:rPr>
                <w:rFonts w:ascii="Arial" w:hAnsi="Arial"/>
              </w:rPr>
              <w:t>f Seniors, Disability Services and Aboriginal and Torres Strait Islander Partnerships</w:t>
            </w:r>
          </w:p>
        </w:tc>
        <w:tc>
          <w:tcPr>
            <w:tcW w:w="1310" w:type="dxa"/>
            <w:shd w:val="clear" w:color="auto" w:fill="939598"/>
          </w:tcPr>
          <w:p w14:paraId="6C18B8C9" w14:textId="77777777" w:rsidR="00367A64" w:rsidRPr="00B06206" w:rsidRDefault="00367A64" w:rsidP="00DF0A4A">
            <w:pPr>
              <w:spacing w:before="480"/>
              <w:rPr>
                <w:rFonts w:ascii="Arial" w:hAnsi="Arial"/>
              </w:rPr>
            </w:pPr>
            <w:r w:rsidRPr="00B06206">
              <w:rPr>
                <w:rFonts w:ascii="Arial" w:hAnsi="Arial"/>
              </w:rPr>
              <w:t>Notes</w:t>
            </w:r>
          </w:p>
        </w:tc>
        <w:tc>
          <w:tcPr>
            <w:tcW w:w="1183" w:type="dxa"/>
            <w:shd w:val="clear" w:color="auto" w:fill="939598"/>
          </w:tcPr>
          <w:p w14:paraId="0B75EE16" w14:textId="77777777" w:rsidR="00367A64" w:rsidRPr="00B06206" w:rsidRDefault="00367A64" w:rsidP="00695BCA">
            <w:pPr>
              <w:rPr>
                <w:rFonts w:ascii="Arial" w:hAnsi="Arial"/>
              </w:rPr>
            </w:pPr>
            <w:r w:rsidRPr="00B06206">
              <w:rPr>
                <w:rFonts w:ascii="Arial" w:hAnsi="Arial"/>
              </w:rPr>
              <w:t>2020-2021</w:t>
            </w:r>
          </w:p>
          <w:p w14:paraId="463B673B" w14:textId="77777777" w:rsidR="00367A64" w:rsidRPr="00B06206" w:rsidRDefault="00367A64" w:rsidP="00695BCA">
            <w:pPr>
              <w:rPr>
                <w:rFonts w:ascii="Arial" w:hAnsi="Arial"/>
              </w:rPr>
            </w:pPr>
            <w:r w:rsidRPr="00B06206">
              <w:rPr>
                <w:rFonts w:ascii="Arial" w:hAnsi="Arial"/>
              </w:rPr>
              <w:t>Target/est.</w:t>
            </w:r>
          </w:p>
        </w:tc>
        <w:tc>
          <w:tcPr>
            <w:tcW w:w="1276" w:type="dxa"/>
            <w:shd w:val="clear" w:color="auto" w:fill="939598"/>
          </w:tcPr>
          <w:p w14:paraId="6FF426D6" w14:textId="77777777" w:rsidR="00367A64" w:rsidRPr="00B06206" w:rsidRDefault="00367A64" w:rsidP="00695BCA">
            <w:pPr>
              <w:rPr>
                <w:rFonts w:ascii="Arial" w:hAnsi="Arial"/>
              </w:rPr>
            </w:pPr>
            <w:r w:rsidRPr="00B06206">
              <w:rPr>
                <w:rFonts w:ascii="Arial" w:hAnsi="Arial"/>
              </w:rPr>
              <w:t xml:space="preserve">2020-2021 </w:t>
            </w:r>
          </w:p>
          <w:p w14:paraId="0482C8DF" w14:textId="5F652257" w:rsidR="00367A64" w:rsidRPr="00B06206" w:rsidRDefault="00367A64" w:rsidP="00695BCA">
            <w:pPr>
              <w:rPr>
                <w:rFonts w:ascii="Arial" w:hAnsi="Arial"/>
              </w:rPr>
            </w:pPr>
            <w:r w:rsidRPr="00B06206">
              <w:rPr>
                <w:rFonts w:ascii="Arial" w:hAnsi="Arial"/>
              </w:rPr>
              <w:t>Actual (1</w:t>
            </w:r>
            <w:r w:rsidR="00122803" w:rsidRPr="00B06206">
              <w:rPr>
                <w:rFonts w:ascii="Arial" w:hAnsi="Arial"/>
              </w:rPr>
              <w:t xml:space="preserve">3 </w:t>
            </w:r>
            <w:proofErr w:type="gramStart"/>
            <w:r w:rsidR="00122803" w:rsidRPr="00B06206">
              <w:rPr>
                <w:rFonts w:ascii="Arial" w:hAnsi="Arial"/>
              </w:rPr>
              <w:t xml:space="preserve">November </w:t>
            </w:r>
            <w:r w:rsidRPr="00B06206">
              <w:rPr>
                <w:rFonts w:ascii="Arial" w:hAnsi="Arial"/>
              </w:rPr>
              <w:t xml:space="preserve"> 2020</w:t>
            </w:r>
            <w:proofErr w:type="gramEnd"/>
            <w:r w:rsidRPr="00B06206">
              <w:rPr>
                <w:rFonts w:ascii="Arial" w:hAnsi="Arial"/>
              </w:rPr>
              <w:t xml:space="preserve"> </w:t>
            </w:r>
            <w:r w:rsidR="0073373B" w:rsidRPr="00B06206">
              <w:rPr>
                <w:rFonts w:ascii="Arial" w:hAnsi="Arial"/>
              </w:rPr>
              <w:t>to</w:t>
            </w:r>
            <w:r w:rsidRPr="00B06206">
              <w:rPr>
                <w:rFonts w:ascii="Arial" w:hAnsi="Arial"/>
              </w:rPr>
              <w:t xml:space="preserve"> 30 </w:t>
            </w:r>
            <w:r w:rsidR="00B93C9D" w:rsidRPr="00B06206">
              <w:rPr>
                <w:rFonts w:ascii="Arial" w:hAnsi="Arial"/>
              </w:rPr>
              <w:t>June</w:t>
            </w:r>
            <w:r w:rsidRPr="00B06206">
              <w:rPr>
                <w:rFonts w:ascii="Arial" w:hAnsi="Arial"/>
              </w:rPr>
              <w:t xml:space="preserve"> 2021)</w:t>
            </w:r>
          </w:p>
        </w:tc>
      </w:tr>
      <w:tr w:rsidR="00A31C9B" w:rsidRPr="00367A64" w14:paraId="4B172BCB" w14:textId="77777777" w:rsidTr="00932845">
        <w:trPr>
          <w:trHeight w:val="20"/>
        </w:trPr>
        <w:tc>
          <w:tcPr>
            <w:tcW w:w="10495" w:type="dxa"/>
            <w:gridSpan w:val="4"/>
            <w:shd w:val="clear" w:color="auto" w:fill="D1D3D4"/>
          </w:tcPr>
          <w:p w14:paraId="78114F2B" w14:textId="32C06F19" w:rsidR="00A31C9B" w:rsidRPr="00B06206" w:rsidRDefault="00A31C9B" w:rsidP="00367A64">
            <w:pPr>
              <w:rPr>
                <w:rFonts w:ascii="Arial" w:hAnsi="Arial"/>
              </w:rPr>
            </w:pPr>
            <w:r w:rsidRPr="00B06206">
              <w:rPr>
                <w:rFonts w:ascii="Arial" w:hAnsi="Arial"/>
              </w:rPr>
              <w:t xml:space="preserve">SERVICE AREA: </w:t>
            </w:r>
            <w:r w:rsidR="002A6B18" w:rsidRPr="00B06206">
              <w:rPr>
                <w:rFonts w:ascii="Arial" w:hAnsi="Arial"/>
              </w:rPr>
              <w:t>ABORIGINAL AND TORRES STRAIT ISLANDER PARTNERSHIPS</w:t>
            </w:r>
            <w:r w:rsidR="003248C8" w:rsidRPr="00B06206">
              <w:rPr>
                <w:rFonts w:ascii="Arial" w:hAnsi="Arial"/>
              </w:rPr>
              <w:t xml:space="preserve"> – ECONOMIC PARTICIPATION</w:t>
            </w:r>
            <w:r w:rsidR="00471DF0" w:rsidRPr="00B06206">
              <w:rPr>
                <w:rFonts w:ascii="Arial" w:hAnsi="Arial"/>
                <w:vertAlign w:val="superscript"/>
              </w:rPr>
              <w:t>1</w:t>
            </w:r>
          </w:p>
        </w:tc>
      </w:tr>
      <w:tr w:rsidR="00A31C9B" w:rsidRPr="00367A64" w14:paraId="290EA6DD" w14:textId="77777777" w:rsidTr="00932845">
        <w:trPr>
          <w:trHeight w:val="20"/>
        </w:trPr>
        <w:tc>
          <w:tcPr>
            <w:tcW w:w="6726" w:type="dxa"/>
          </w:tcPr>
          <w:p w14:paraId="52F7D84C" w14:textId="77777777" w:rsidR="00A31C9B" w:rsidRPr="00B06206" w:rsidRDefault="00A31C9B" w:rsidP="00367A64">
            <w:pPr>
              <w:rPr>
                <w:rFonts w:ascii="Arial" w:hAnsi="Arial"/>
              </w:rPr>
            </w:pPr>
            <w:r w:rsidRPr="00B06206">
              <w:rPr>
                <w:rFonts w:ascii="Arial" w:hAnsi="Arial"/>
              </w:rPr>
              <w:t>Service standards</w:t>
            </w:r>
          </w:p>
          <w:p w14:paraId="0931B561" w14:textId="77777777" w:rsidR="00A31C9B" w:rsidRPr="00B06206" w:rsidRDefault="00A31C9B" w:rsidP="00367A64">
            <w:pPr>
              <w:rPr>
                <w:rFonts w:ascii="Arial" w:hAnsi="Arial"/>
              </w:rPr>
            </w:pPr>
            <w:r w:rsidRPr="00B06206">
              <w:rPr>
                <w:rFonts w:ascii="Arial" w:hAnsi="Arial"/>
              </w:rPr>
              <w:t>Effectiveness measures</w:t>
            </w:r>
          </w:p>
          <w:p w14:paraId="5307EE94" w14:textId="77777777" w:rsidR="00A31C9B" w:rsidRPr="00B06206" w:rsidRDefault="00A31C9B" w:rsidP="00367A64">
            <w:pPr>
              <w:rPr>
                <w:rFonts w:ascii="Arial" w:hAnsi="Arial"/>
              </w:rPr>
            </w:pPr>
            <w:r w:rsidRPr="00B06206">
              <w:rPr>
                <w:rFonts w:ascii="Arial" w:hAnsi="Arial"/>
              </w:rPr>
              <w:t>Number of job placements for Aboriginal peoples and Torres Strait Islander peoples facilitated by the department</w:t>
            </w:r>
          </w:p>
        </w:tc>
        <w:tc>
          <w:tcPr>
            <w:tcW w:w="1310" w:type="dxa"/>
          </w:tcPr>
          <w:p w14:paraId="510BDA36" w14:textId="21A10684" w:rsidR="00A31C9B" w:rsidRPr="00B06206" w:rsidRDefault="0039178E" w:rsidP="00DF0A4A">
            <w:pPr>
              <w:spacing w:before="1200"/>
              <w:rPr>
                <w:rFonts w:ascii="Arial" w:hAnsi="Arial"/>
              </w:rPr>
            </w:pPr>
            <w:r w:rsidRPr="00B06206">
              <w:rPr>
                <w:rFonts w:ascii="Arial" w:hAnsi="Arial"/>
              </w:rPr>
              <w:t xml:space="preserve">1, </w:t>
            </w:r>
            <w:r w:rsidR="00A31C9B" w:rsidRPr="00B06206">
              <w:rPr>
                <w:rFonts w:ascii="Arial" w:hAnsi="Arial"/>
              </w:rPr>
              <w:t>2</w:t>
            </w:r>
          </w:p>
        </w:tc>
        <w:tc>
          <w:tcPr>
            <w:tcW w:w="1183" w:type="dxa"/>
          </w:tcPr>
          <w:p w14:paraId="52F28194" w14:textId="77777777" w:rsidR="00A31C9B" w:rsidRPr="00B06206" w:rsidRDefault="00D13AD1" w:rsidP="00DF0A4A">
            <w:pPr>
              <w:spacing w:before="1200"/>
              <w:rPr>
                <w:rFonts w:ascii="Arial" w:hAnsi="Arial"/>
              </w:rPr>
            </w:pPr>
            <w:r w:rsidRPr="00B06206">
              <w:rPr>
                <w:rFonts w:ascii="Arial" w:hAnsi="Arial"/>
              </w:rPr>
              <w:t>720</w:t>
            </w:r>
          </w:p>
        </w:tc>
        <w:tc>
          <w:tcPr>
            <w:tcW w:w="1276" w:type="dxa"/>
          </w:tcPr>
          <w:p w14:paraId="75611925" w14:textId="171EC5BD" w:rsidR="00A31C9B" w:rsidRPr="00B06206" w:rsidRDefault="005C7E39" w:rsidP="00DF0A4A">
            <w:pPr>
              <w:spacing w:before="1200"/>
              <w:rPr>
                <w:rFonts w:ascii="Arial" w:hAnsi="Arial"/>
              </w:rPr>
            </w:pPr>
            <w:r w:rsidRPr="00B06206">
              <w:rPr>
                <w:rFonts w:ascii="Arial" w:hAnsi="Arial"/>
              </w:rPr>
              <w:t>591</w:t>
            </w:r>
            <w:r w:rsidR="004047F1" w:rsidRPr="00B06206">
              <w:rPr>
                <w:rFonts w:ascii="Arial" w:hAnsi="Arial"/>
              </w:rPr>
              <w:t>*</w:t>
            </w:r>
          </w:p>
        </w:tc>
      </w:tr>
      <w:tr w:rsidR="00A31C9B" w:rsidRPr="00367A64" w14:paraId="6863DF55" w14:textId="77777777" w:rsidTr="00932845">
        <w:trPr>
          <w:trHeight w:val="20"/>
        </w:trPr>
        <w:tc>
          <w:tcPr>
            <w:tcW w:w="6726" w:type="dxa"/>
          </w:tcPr>
          <w:p w14:paraId="32244108" w14:textId="77777777" w:rsidR="00A31C9B" w:rsidRPr="00B06206" w:rsidRDefault="00A31C9B" w:rsidP="00367A64">
            <w:pPr>
              <w:rPr>
                <w:rFonts w:ascii="Arial" w:hAnsi="Arial"/>
              </w:rPr>
            </w:pPr>
            <w:r w:rsidRPr="00B06206">
              <w:rPr>
                <w:rFonts w:ascii="Arial" w:hAnsi="Arial"/>
              </w:rPr>
              <w:t>Percentage of Aboriginal peoples and Torres Strait Islander peoples successfully employed three months after placement by the Youth Employment Program</w:t>
            </w:r>
          </w:p>
        </w:tc>
        <w:tc>
          <w:tcPr>
            <w:tcW w:w="1310" w:type="dxa"/>
          </w:tcPr>
          <w:p w14:paraId="23411B70" w14:textId="68BCDBB1" w:rsidR="00A31C9B" w:rsidRPr="00B06206" w:rsidRDefault="0039178E" w:rsidP="00797BC9">
            <w:pPr>
              <w:spacing w:before="480"/>
              <w:rPr>
                <w:rFonts w:ascii="Arial" w:hAnsi="Arial"/>
              </w:rPr>
            </w:pPr>
            <w:r w:rsidRPr="00B06206">
              <w:rPr>
                <w:rFonts w:ascii="Arial" w:hAnsi="Arial"/>
              </w:rPr>
              <w:t xml:space="preserve">1, </w:t>
            </w:r>
            <w:r w:rsidR="00A31C9B" w:rsidRPr="00B06206">
              <w:rPr>
                <w:rFonts w:ascii="Arial" w:hAnsi="Arial"/>
              </w:rPr>
              <w:t>3</w:t>
            </w:r>
          </w:p>
        </w:tc>
        <w:tc>
          <w:tcPr>
            <w:tcW w:w="1183" w:type="dxa"/>
          </w:tcPr>
          <w:p w14:paraId="396F39BB" w14:textId="77777777" w:rsidR="00A31C9B" w:rsidRPr="00B06206" w:rsidRDefault="00A31C9B" w:rsidP="00797BC9">
            <w:pPr>
              <w:spacing w:before="480"/>
              <w:rPr>
                <w:rFonts w:ascii="Arial" w:hAnsi="Arial"/>
              </w:rPr>
            </w:pPr>
            <w:r w:rsidRPr="00B06206">
              <w:rPr>
                <w:rFonts w:ascii="Arial" w:hAnsi="Arial"/>
              </w:rPr>
              <w:t>70%</w:t>
            </w:r>
          </w:p>
        </w:tc>
        <w:tc>
          <w:tcPr>
            <w:tcW w:w="1276" w:type="dxa"/>
          </w:tcPr>
          <w:p w14:paraId="4774D6DE" w14:textId="6DE0988F" w:rsidR="00A31C9B" w:rsidRPr="00B06206" w:rsidRDefault="00115D8D" w:rsidP="00797BC9">
            <w:pPr>
              <w:spacing w:before="480"/>
              <w:rPr>
                <w:rFonts w:ascii="Arial" w:hAnsi="Arial"/>
              </w:rPr>
            </w:pPr>
            <w:r w:rsidRPr="00B06206">
              <w:rPr>
                <w:rFonts w:ascii="Arial" w:hAnsi="Arial"/>
              </w:rPr>
              <w:t>83.8</w:t>
            </w:r>
            <w:r w:rsidR="00265099" w:rsidRPr="00B06206">
              <w:rPr>
                <w:rFonts w:ascii="Arial" w:hAnsi="Arial"/>
              </w:rPr>
              <w:t>%</w:t>
            </w:r>
            <w:r w:rsidR="004047F1" w:rsidRPr="00B06206">
              <w:rPr>
                <w:rFonts w:ascii="Arial" w:hAnsi="Arial"/>
              </w:rPr>
              <w:t>*</w:t>
            </w:r>
          </w:p>
        </w:tc>
      </w:tr>
      <w:tr w:rsidR="00115D8D" w:rsidRPr="00367A64" w14:paraId="426D53A2" w14:textId="77777777" w:rsidTr="00932845">
        <w:trPr>
          <w:trHeight w:val="20"/>
        </w:trPr>
        <w:tc>
          <w:tcPr>
            <w:tcW w:w="6726" w:type="dxa"/>
          </w:tcPr>
          <w:p w14:paraId="5A7BB42B" w14:textId="77777777" w:rsidR="00A31C9B" w:rsidRPr="00B06206" w:rsidRDefault="00A31C9B" w:rsidP="00367A64">
            <w:pPr>
              <w:rPr>
                <w:rFonts w:ascii="Arial" w:hAnsi="Arial"/>
              </w:rPr>
            </w:pPr>
            <w:r w:rsidRPr="00B06206">
              <w:rPr>
                <w:rFonts w:ascii="Arial" w:hAnsi="Arial"/>
              </w:rPr>
              <w:t>Percentage of Aboriginal peoples and Torres Strait Islander peoples successfully employed six months after placement by the Youth Employment Program</w:t>
            </w:r>
          </w:p>
        </w:tc>
        <w:tc>
          <w:tcPr>
            <w:tcW w:w="1310" w:type="dxa"/>
          </w:tcPr>
          <w:p w14:paraId="78BD19BE" w14:textId="4D6FE65F" w:rsidR="00A31C9B" w:rsidRPr="00B06206" w:rsidRDefault="0039178E" w:rsidP="00797BC9">
            <w:pPr>
              <w:spacing w:before="480"/>
              <w:rPr>
                <w:rFonts w:ascii="Arial" w:hAnsi="Arial"/>
              </w:rPr>
            </w:pPr>
            <w:r w:rsidRPr="00B06206">
              <w:rPr>
                <w:rFonts w:ascii="Arial" w:hAnsi="Arial"/>
              </w:rPr>
              <w:t xml:space="preserve">1, </w:t>
            </w:r>
            <w:r w:rsidR="00A31C9B" w:rsidRPr="00B06206">
              <w:rPr>
                <w:rFonts w:ascii="Arial" w:hAnsi="Arial"/>
              </w:rPr>
              <w:t>4, 5</w:t>
            </w:r>
          </w:p>
        </w:tc>
        <w:tc>
          <w:tcPr>
            <w:tcW w:w="1183" w:type="dxa"/>
          </w:tcPr>
          <w:p w14:paraId="30DECF40" w14:textId="77777777" w:rsidR="00A31C9B" w:rsidRPr="00B06206" w:rsidRDefault="00A31C9B" w:rsidP="00797BC9">
            <w:pPr>
              <w:spacing w:before="480"/>
              <w:rPr>
                <w:rFonts w:ascii="Arial" w:hAnsi="Arial"/>
              </w:rPr>
            </w:pPr>
            <w:r w:rsidRPr="00B06206">
              <w:rPr>
                <w:rFonts w:ascii="Arial" w:hAnsi="Arial"/>
              </w:rPr>
              <w:t>50%</w:t>
            </w:r>
          </w:p>
        </w:tc>
        <w:tc>
          <w:tcPr>
            <w:tcW w:w="1276" w:type="dxa"/>
          </w:tcPr>
          <w:p w14:paraId="1145EBA2" w14:textId="0F27A720" w:rsidR="00A31C9B" w:rsidRPr="00B06206" w:rsidRDefault="00115D8D" w:rsidP="00797BC9">
            <w:pPr>
              <w:spacing w:before="480"/>
              <w:rPr>
                <w:rFonts w:ascii="Arial" w:hAnsi="Arial"/>
              </w:rPr>
            </w:pPr>
            <w:r w:rsidRPr="00B06206">
              <w:rPr>
                <w:rFonts w:ascii="Arial" w:hAnsi="Arial"/>
              </w:rPr>
              <w:t>61.1</w:t>
            </w:r>
            <w:r w:rsidR="0076126B" w:rsidRPr="00B06206">
              <w:rPr>
                <w:rFonts w:ascii="Arial" w:hAnsi="Arial"/>
              </w:rPr>
              <w:t>%</w:t>
            </w:r>
            <w:r w:rsidR="004047F1" w:rsidRPr="00B06206">
              <w:rPr>
                <w:rFonts w:ascii="Arial" w:hAnsi="Arial"/>
              </w:rPr>
              <w:t>*</w:t>
            </w:r>
          </w:p>
        </w:tc>
      </w:tr>
      <w:tr w:rsidR="00A31C9B" w:rsidRPr="00367A64" w14:paraId="7C527A2C" w14:textId="77777777" w:rsidTr="00932845">
        <w:trPr>
          <w:trHeight w:val="20"/>
        </w:trPr>
        <w:tc>
          <w:tcPr>
            <w:tcW w:w="6726" w:type="dxa"/>
          </w:tcPr>
          <w:p w14:paraId="772E4703" w14:textId="77777777" w:rsidR="00A31C9B" w:rsidRPr="00B06206" w:rsidRDefault="00A31C9B" w:rsidP="00367A64">
            <w:pPr>
              <w:rPr>
                <w:rFonts w:ascii="Arial" w:hAnsi="Arial"/>
              </w:rPr>
            </w:pPr>
            <w:r w:rsidRPr="00B06206">
              <w:rPr>
                <w:rFonts w:ascii="Arial" w:hAnsi="Arial"/>
              </w:rPr>
              <w:t>Number of houses made available for ownership by Aboriginal peoples and Torres Strait Islander peoples in targeted communities through Queensland Government investment</w:t>
            </w:r>
          </w:p>
        </w:tc>
        <w:tc>
          <w:tcPr>
            <w:tcW w:w="1310" w:type="dxa"/>
          </w:tcPr>
          <w:p w14:paraId="174DF81B" w14:textId="63DB9F97" w:rsidR="00A31C9B" w:rsidRPr="00B06206" w:rsidRDefault="0039178E" w:rsidP="00797BC9">
            <w:pPr>
              <w:spacing w:before="480"/>
              <w:rPr>
                <w:rFonts w:ascii="Arial" w:hAnsi="Arial"/>
              </w:rPr>
            </w:pPr>
            <w:r w:rsidRPr="00B06206">
              <w:rPr>
                <w:rFonts w:ascii="Arial" w:hAnsi="Arial"/>
              </w:rPr>
              <w:t xml:space="preserve">1, </w:t>
            </w:r>
            <w:r w:rsidR="00A31C9B" w:rsidRPr="00B06206">
              <w:rPr>
                <w:rFonts w:ascii="Arial" w:hAnsi="Arial"/>
              </w:rPr>
              <w:t>6, 7</w:t>
            </w:r>
          </w:p>
        </w:tc>
        <w:tc>
          <w:tcPr>
            <w:tcW w:w="1183" w:type="dxa"/>
          </w:tcPr>
          <w:p w14:paraId="6772EE82" w14:textId="77777777" w:rsidR="00A31C9B" w:rsidRPr="00B06206" w:rsidRDefault="00A31C9B" w:rsidP="00797BC9">
            <w:pPr>
              <w:spacing w:before="480"/>
              <w:rPr>
                <w:rFonts w:ascii="Arial" w:hAnsi="Arial"/>
              </w:rPr>
            </w:pPr>
            <w:r w:rsidRPr="00B06206">
              <w:rPr>
                <w:rFonts w:ascii="Arial" w:hAnsi="Arial"/>
              </w:rPr>
              <w:t>30</w:t>
            </w:r>
          </w:p>
        </w:tc>
        <w:tc>
          <w:tcPr>
            <w:tcW w:w="1276" w:type="dxa"/>
          </w:tcPr>
          <w:p w14:paraId="24F8EABF" w14:textId="4E3D1E6B" w:rsidR="00A31C9B" w:rsidRPr="00B06206" w:rsidRDefault="00115D8D" w:rsidP="00797BC9">
            <w:pPr>
              <w:spacing w:before="480"/>
              <w:rPr>
                <w:rFonts w:ascii="Arial" w:hAnsi="Arial"/>
              </w:rPr>
            </w:pPr>
            <w:r w:rsidRPr="00B06206">
              <w:rPr>
                <w:rFonts w:ascii="Arial" w:hAnsi="Arial"/>
              </w:rPr>
              <w:t>19</w:t>
            </w:r>
            <w:r w:rsidR="004047F1" w:rsidRPr="00B06206">
              <w:rPr>
                <w:rFonts w:ascii="Arial" w:hAnsi="Arial"/>
              </w:rPr>
              <w:t>*</w:t>
            </w:r>
          </w:p>
        </w:tc>
      </w:tr>
      <w:tr w:rsidR="00A31C9B" w:rsidRPr="00367A64" w14:paraId="30DAE904" w14:textId="77777777" w:rsidTr="00932845">
        <w:trPr>
          <w:trHeight w:val="20"/>
        </w:trPr>
        <w:tc>
          <w:tcPr>
            <w:tcW w:w="6726" w:type="dxa"/>
          </w:tcPr>
          <w:p w14:paraId="0325F38F" w14:textId="77777777" w:rsidR="00A31C9B" w:rsidRPr="00B06206" w:rsidRDefault="00A31C9B" w:rsidP="00367A64">
            <w:pPr>
              <w:rPr>
                <w:rFonts w:ascii="Arial" w:hAnsi="Arial"/>
              </w:rPr>
            </w:pPr>
            <w:r w:rsidRPr="00B06206">
              <w:rPr>
                <w:rFonts w:ascii="Arial" w:hAnsi="Arial"/>
              </w:rPr>
              <w:t>Number of Aboriginal and Torres Strait Islander businesses securing government procurement</w:t>
            </w:r>
          </w:p>
        </w:tc>
        <w:tc>
          <w:tcPr>
            <w:tcW w:w="1310" w:type="dxa"/>
          </w:tcPr>
          <w:p w14:paraId="4EB090E5" w14:textId="4D4E70FC" w:rsidR="00A31C9B" w:rsidRPr="00B06206" w:rsidRDefault="0039178E" w:rsidP="00797BC9">
            <w:pPr>
              <w:spacing w:before="240"/>
              <w:rPr>
                <w:rFonts w:ascii="Arial" w:hAnsi="Arial"/>
              </w:rPr>
            </w:pPr>
            <w:r w:rsidRPr="00B06206">
              <w:rPr>
                <w:rFonts w:ascii="Arial" w:hAnsi="Arial"/>
              </w:rPr>
              <w:t xml:space="preserve">1, </w:t>
            </w:r>
            <w:r w:rsidR="00A31C9B" w:rsidRPr="00B06206">
              <w:rPr>
                <w:rFonts w:ascii="Arial" w:hAnsi="Arial"/>
              </w:rPr>
              <w:t>8</w:t>
            </w:r>
          </w:p>
        </w:tc>
        <w:tc>
          <w:tcPr>
            <w:tcW w:w="1183" w:type="dxa"/>
          </w:tcPr>
          <w:p w14:paraId="117D714F" w14:textId="77777777" w:rsidR="00A31C9B" w:rsidRPr="00B06206" w:rsidRDefault="00A31C9B" w:rsidP="00797BC9">
            <w:pPr>
              <w:spacing w:before="240"/>
              <w:rPr>
                <w:rFonts w:ascii="Arial" w:hAnsi="Arial"/>
              </w:rPr>
            </w:pPr>
            <w:r w:rsidRPr="00B06206">
              <w:rPr>
                <w:rFonts w:ascii="Arial" w:hAnsi="Arial"/>
              </w:rPr>
              <w:t>450</w:t>
            </w:r>
          </w:p>
        </w:tc>
        <w:tc>
          <w:tcPr>
            <w:tcW w:w="1276" w:type="dxa"/>
          </w:tcPr>
          <w:p w14:paraId="4163E87D" w14:textId="716D16FD" w:rsidR="00A31C9B" w:rsidRPr="00B06206" w:rsidRDefault="00222923" w:rsidP="00797BC9">
            <w:pPr>
              <w:spacing w:before="240"/>
              <w:rPr>
                <w:rFonts w:ascii="Arial" w:hAnsi="Arial"/>
              </w:rPr>
            </w:pPr>
            <w:r>
              <w:rPr>
                <w:rFonts w:ascii="Arial" w:hAnsi="Arial"/>
              </w:rPr>
              <w:t>180</w:t>
            </w:r>
            <w:r w:rsidR="004047F1" w:rsidRPr="00B06206">
              <w:rPr>
                <w:rFonts w:ascii="Arial" w:hAnsi="Arial"/>
              </w:rPr>
              <w:t>*</w:t>
            </w:r>
          </w:p>
        </w:tc>
      </w:tr>
      <w:tr w:rsidR="00A31C9B" w:rsidRPr="00367A64" w14:paraId="6E96D7EE" w14:textId="77777777" w:rsidTr="00932845">
        <w:trPr>
          <w:trHeight w:val="20"/>
        </w:trPr>
        <w:tc>
          <w:tcPr>
            <w:tcW w:w="6726" w:type="dxa"/>
          </w:tcPr>
          <w:p w14:paraId="5929FD9E" w14:textId="77777777" w:rsidR="00A31C9B" w:rsidRPr="00B06206" w:rsidRDefault="00A31C9B" w:rsidP="00367A64">
            <w:pPr>
              <w:rPr>
                <w:rFonts w:ascii="Arial" w:hAnsi="Arial"/>
              </w:rPr>
            </w:pPr>
            <w:r w:rsidRPr="00B06206">
              <w:rPr>
                <w:rFonts w:ascii="Arial" w:hAnsi="Arial"/>
              </w:rPr>
              <w:t>Value of government procurement from Aboriginal and Torres Strait Islander businesses</w:t>
            </w:r>
          </w:p>
        </w:tc>
        <w:tc>
          <w:tcPr>
            <w:tcW w:w="1310" w:type="dxa"/>
          </w:tcPr>
          <w:p w14:paraId="28DABDB0" w14:textId="6EC4B10B" w:rsidR="00A31C9B" w:rsidRPr="00B06206" w:rsidRDefault="0039178E" w:rsidP="00797BC9">
            <w:pPr>
              <w:spacing w:before="240"/>
              <w:rPr>
                <w:rFonts w:ascii="Arial" w:hAnsi="Arial"/>
              </w:rPr>
            </w:pPr>
            <w:r w:rsidRPr="00B06206">
              <w:rPr>
                <w:rFonts w:ascii="Arial" w:hAnsi="Arial"/>
              </w:rPr>
              <w:t xml:space="preserve">1, </w:t>
            </w:r>
            <w:r w:rsidR="00A31C9B" w:rsidRPr="00B06206">
              <w:rPr>
                <w:rFonts w:ascii="Arial" w:hAnsi="Arial"/>
              </w:rPr>
              <w:t>9</w:t>
            </w:r>
          </w:p>
        </w:tc>
        <w:tc>
          <w:tcPr>
            <w:tcW w:w="1183" w:type="dxa"/>
          </w:tcPr>
          <w:p w14:paraId="5AACD191" w14:textId="77777777" w:rsidR="00A31C9B" w:rsidRPr="00B06206" w:rsidRDefault="00A31C9B" w:rsidP="00797BC9">
            <w:pPr>
              <w:spacing w:before="240"/>
              <w:rPr>
                <w:rFonts w:ascii="Arial" w:hAnsi="Arial"/>
              </w:rPr>
            </w:pPr>
            <w:r w:rsidRPr="00B06206">
              <w:rPr>
                <w:rFonts w:ascii="Arial" w:hAnsi="Arial"/>
              </w:rPr>
              <w:t>$350M</w:t>
            </w:r>
          </w:p>
        </w:tc>
        <w:tc>
          <w:tcPr>
            <w:tcW w:w="1276" w:type="dxa"/>
          </w:tcPr>
          <w:p w14:paraId="4EC82095" w14:textId="0C916B3C" w:rsidR="00A31C9B" w:rsidRPr="00B06206" w:rsidRDefault="00394B0A" w:rsidP="00797BC9">
            <w:pPr>
              <w:spacing w:before="240"/>
              <w:rPr>
                <w:rFonts w:ascii="Arial" w:hAnsi="Arial"/>
              </w:rPr>
            </w:pPr>
            <w:r w:rsidRPr="00B06206">
              <w:rPr>
                <w:rFonts w:ascii="Arial" w:hAnsi="Arial"/>
              </w:rPr>
              <w:t>$</w:t>
            </w:r>
            <w:r w:rsidR="00222923">
              <w:rPr>
                <w:rFonts w:ascii="Arial" w:hAnsi="Arial"/>
              </w:rPr>
              <w:t>243.36</w:t>
            </w:r>
            <w:r w:rsidR="007A7F88" w:rsidRPr="00B06206">
              <w:rPr>
                <w:rFonts w:ascii="Arial" w:hAnsi="Arial"/>
              </w:rPr>
              <w:t>M</w:t>
            </w:r>
            <w:r w:rsidR="004047F1" w:rsidRPr="00B06206">
              <w:rPr>
                <w:rFonts w:ascii="Arial" w:hAnsi="Arial"/>
              </w:rPr>
              <w:t>*</w:t>
            </w:r>
          </w:p>
        </w:tc>
      </w:tr>
      <w:tr w:rsidR="00716C5F" w:rsidRPr="00367A64" w14:paraId="28E49124" w14:textId="77777777" w:rsidTr="00932845">
        <w:trPr>
          <w:trHeight w:val="20"/>
        </w:trPr>
        <w:tc>
          <w:tcPr>
            <w:tcW w:w="6726" w:type="dxa"/>
          </w:tcPr>
          <w:p w14:paraId="2BE6C391" w14:textId="77777777" w:rsidR="00A31C9B" w:rsidRPr="00B06206" w:rsidRDefault="00A31C9B" w:rsidP="00367A64">
            <w:pPr>
              <w:rPr>
                <w:rFonts w:ascii="Arial" w:hAnsi="Arial"/>
              </w:rPr>
            </w:pPr>
            <w:r w:rsidRPr="00B06206">
              <w:rPr>
                <w:rFonts w:ascii="Arial" w:hAnsi="Arial"/>
              </w:rPr>
              <w:t>Efficiency measure</w:t>
            </w:r>
          </w:p>
          <w:p w14:paraId="4EE96020" w14:textId="77777777" w:rsidR="00A31C9B" w:rsidRPr="00B06206" w:rsidRDefault="00A31C9B" w:rsidP="00367A64">
            <w:pPr>
              <w:rPr>
                <w:rFonts w:ascii="Arial" w:hAnsi="Arial"/>
              </w:rPr>
            </w:pPr>
            <w:r w:rsidRPr="00B06206">
              <w:rPr>
                <w:rFonts w:ascii="Arial" w:hAnsi="Arial"/>
              </w:rPr>
              <w:t>Total cost per hour of economic participation policy</w:t>
            </w:r>
          </w:p>
        </w:tc>
        <w:tc>
          <w:tcPr>
            <w:tcW w:w="1310" w:type="dxa"/>
          </w:tcPr>
          <w:p w14:paraId="1537D65C" w14:textId="5C47B60E" w:rsidR="00A31C9B" w:rsidRPr="00B06206" w:rsidRDefault="0039178E" w:rsidP="00797BC9">
            <w:pPr>
              <w:spacing w:before="480"/>
              <w:rPr>
                <w:rFonts w:ascii="Arial" w:hAnsi="Arial"/>
              </w:rPr>
            </w:pPr>
            <w:r w:rsidRPr="00B06206">
              <w:rPr>
                <w:rFonts w:ascii="Arial" w:hAnsi="Arial"/>
              </w:rPr>
              <w:t xml:space="preserve">1, </w:t>
            </w:r>
            <w:r w:rsidR="00A31C9B" w:rsidRPr="00B06206">
              <w:rPr>
                <w:rFonts w:ascii="Arial" w:hAnsi="Arial"/>
              </w:rPr>
              <w:t>10, 11</w:t>
            </w:r>
          </w:p>
        </w:tc>
        <w:tc>
          <w:tcPr>
            <w:tcW w:w="1183" w:type="dxa"/>
          </w:tcPr>
          <w:p w14:paraId="7F3BB0A8" w14:textId="77777777" w:rsidR="00A31C9B" w:rsidRPr="00B06206" w:rsidRDefault="00A31C9B" w:rsidP="00797BC9">
            <w:pPr>
              <w:spacing w:before="480"/>
              <w:rPr>
                <w:rFonts w:ascii="Arial" w:hAnsi="Arial"/>
              </w:rPr>
            </w:pPr>
            <w:r w:rsidRPr="00B06206">
              <w:rPr>
                <w:rFonts w:ascii="Arial" w:hAnsi="Arial"/>
              </w:rPr>
              <w:t>$103</w:t>
            </w:r>
          </w:p>
        </w:tc>
        <w:tc>
          <w:tcPr>
            <w:tcW w:w="1276" w:type="dxa"/>
          </w:tcPr>
          <w:p w14:paraId="176215A1" w14:textId="7E543898" w:rsidR="00A31C9B" w:rsidRPr="00B06206" w:rsidRDefault="00A31C9B" w:rsidP="00797BC9">
            <w:pPr>
              <w:spacing w:before="480"/>
              <w:rPr>
                <w:rFonts w:ascii="Arial" w:hAnsi="Arial"/>
              </w:rPr>
            </w:pPr>
            <w:r w:rsidRPr="00B06206">
              <w:rPr>
                <w:rFonts w:ascii="Arial" w:hAnsi="Arial"/>
              </w:rPr>
              <w:t>$</w:t>
            </w:r>
            <w:r w:rsidR="002B1C76" w:rsidRPr="00B06206">
              <w:rPr>
                <w:rFonts w:ascii="Arial" w:hAnsi="Arial"/>
              </w:rPr>
              <w:t>102</w:t>
            </w:r>
            <w:r w:rsidR="004047F1" w:rsidRPr="00B06206">
              <w:rPr>
                <w:rFonts w:ascii="Arial" w:hAnsi="Arial"/>
              </w:rPr>
              <w:t>*</w:t>
            </w:r>
          </w:p>
        </w:tc>
      </w:tr>
    </w:tbl>
    <w:p w14:paraId="1777208B" w14:textId="45E34563" w:rsidR="00167DC4" w:rsidRPr="00656566" w:rsidRDefault="00167DC4" w:rsidP="00797BC9">
      <w:pPr>
        <w:pStyle w:val="EndnoteText"/>
        <w:spacing w:after="240"/>
        <w:rPr>
          <w:rFonts w:eastAsia="Calibri"/>
        </w:rPr>
      </w:pPr>
      <w:r w:rsidRPr="002E4FE2">
        <w:t xml:space="preserve">*Additional performance information is provided in the former Department of Aboriginal and Torres Strait Islander Partnerships Final Report: 1 July 2020 </w:t>
      </w:r>
      <w:r w:rsidR="0073373B" w:rsidRPr="002E4FE2">
        <w:t>to</w:t>
      </w:r>
      <w:r w:rsidRPr="002E4FE2">
        <w:t xml:space="preserve"> 12 November 2020.</w:t>
      </w:r>
    </w:p>
    <w:p w14:paraId="518A1149" w14:textId="69C1B7FE" w:rsidR="002A6B18" w:rsidRPr="00932845" w:rsidRDefault="002A6B18" w:rsidP="00932845">
      <w:pPr>
        <w:pStyle w:val="EndnoteText"/>
      </w:pPr>
      <w:r w:rsidRPr="00932845">
        <w:t>Notes:</w:t>
      </w:r>
    </w:p>
    <w:p w14:paraId="38C60D63" w14:textId="3AE9C261" w:rsidR="002A6B18" w:rsidRPr="00932845" w:rsidRDefault="002A6B18" w:rsidP="00932845">
      <w:pPr>
        <w:pStyle w:val="EndnoteText"/>
      </w:pPr>
      <w:r w:rsidRPr="00932845">
        <w:t xml:space="preserve">1. This service area was previously presented in the former Department of Aboriginal and Torres Strait Islander Partnerships </w:t>
      </w:r>
      <w:r w:rsidR="001E5C6A" w:rsidRPr="00932845">
        <w:t>2019-2020</w:t>
      </w:r>
      <w:r w:rsidRPr="00932845">
        <w:t xml:space="preserve"> Service</w:t>
      </w:r>
    </w:p>
    <w:p w14:paraId="20FC7013" w14:textId="77777777" w:rsidR="002A6B18" w:rsidRPr="00932845" w:rsidRDefault="002A6B18" w:rsidP="00932845">
      <w:pPr>
        <w:pStyle w:val="EndnoteText"/>
      </w:pPr>
      <w:r w:rsidRPr="00932845">
        <w:t>Delivery Statement.</w:t>
      </w:r>
    </w:p>
    <w:p w14:paraId="3CC39DA4" w14:textId="4A93848E" w:rsidR="002A6B18" w:rsidRPr="002E4FE2" w:rsidRDefault="002A6B18" w:rsidP="00932845">
      <w:pPr>
        <w:pStyle w:val="EndnoteText"/>
      </w:pPr>
      <w:r w:rsidRPr="002E4FE2">
        <w:t>2. This is a proxy measure of effectiveness measuring the number of job placements that have been facilitated for Aboriginal</w:t>
      </w:r>
      <w:r w:rsidR="009A2E58" w:rsidRPr="002E4FE2">
        <w:t xml:space="preserve"> peoples</w:t>
      </w:r>
      <w:r w:rsidRPr="002E4FE2">
        <w:t xml:space="preserve"> and Torres Strait</w:t>
      </w:r>
      <w:r w:rsidR="009A2E58" w:rsidRPr="002E4FE2">
        <w:t xml:space="preserve"> </w:t>
      </w:r>
      <w:r w:rsidRPr="002E4FE2">
        <w:t>Islander people</w:t>
      </w:r>
      <w:r w:rsidR="009A2E58" w:rsidRPr="002E4FE2">
        <w:t>s</w:t>
      </w:r>
      <w:r w:rsidRPr="002E4FE2">
        <w:t xml:space="preserve"> through the Economic Participation Program. This program, which is delivered across the State, aims to increase the</w:t>
      </w:r>
      <w:r w:rsidR="0020285F" w:rsidRPr="002E4FE2">
        <w:t xml:space="preserve"> </w:t>
      </w:r>
      <w:r w:rsidRPr="002E4FE2">
        <w:t xml:space="preserve">participation of Aboriginal and Torres Strait Islander Queenslanders in employment by facilitating job placements that are full-time, </w:t>
      </w:r>
      <w:r w:rsidR="008B09CB" w:rsidRPr="002E4FE2">
        <w:t xml:space="preserve">part-time </w:t>
      </w:r>
      <w:r w:rsidRPr="002E4FE2">
        <w:t>or casual, as well as apprenticeships. The calculation of this figure is based on the total number of job placements where individuals</w:t>
      </w:r>
      <w:r w:rsidR="008B09CB" w:rsidRPr="002E4FE2">
        <w:t xml:space="preserve"> </w:t>
      </w:r>
      <w:r w:rsidRPr="002E4FE2">
        <w:t>meet the employment criteria.</w:t>
      </w:r>
      <w:r w:rsidR="00B93C9D" w:rsidRPr="002E4FE2">
        <w:t xml:space="preserve"> Reporting for the period 1 July 2020</w:t>
      </w:r>
      <w:r w:rsidR="00122803" w:rsidRPr="002E4FE2">
        <w:t>-30 June 2021 there were 823 jobs.</w:t>
      </w:r>
    </w:p>
    <w:p w14:paraId="24C6B5CF" w14:textId="162DB453" w:rsidR="002A6B18" w:rsidRPr="002E4FE2" w:rsidRDefault="002A6B18" w:rsidP="00932845">
      <w:pPr>
        <w:pStyle w:val="EndnoteText"/>
      </w:pPr>
      <w:r w:rsidRPr="002E4FE2">
        <w:t>3. This service standard measures the proportion of Aboriginal peoples and Torres Strait Islander peoples who, under the Youth Employment</w:t>
      </w:r>
      <w:r w:rsidR="002E4FE2">
        <w:t xml:space="preserve"> </w:t>
      </w:r>
      <w:r w:rsidRPr="002E4FE2">
        <w:t>Program, remain in employment for three months after initial placement. The Youth Employment Program is an employment support</w:t>
      </w:r>
      <w:r w:rsidR="008B09CB" w:rsidRPr="002E4FE2">
        <w:t xml:space="preserve"> </w:t>
      </w:r>
      <w:r w:rsidRPr="002E4FE2">
        <w:t>program for young Aboriginal and Torres Strait Islanders who are finishing high school and looking for work or considering further</w:t>
      </w:r>
      <w:r w:rsidR="008B09CB" w:rsidRPr="002E4FE2">
        <w:t xml:space="preserve"> </w:t>
      </w:r>
      <w:r w:rsidRPr="002E4FE2">
        <w:t>education.</w:t>
      </w:r>
    </w:p>
    <w:p w14:paraId="15519DCF" w14:textId="21AF43A1" w:rsidR="002A6B18" w:rsidRPr="002E4FE2" w:rsidRDefault="004902B8" w:rsidP="00932845">
      <w:pPr>
        <w:pStyle w:val="EndnoteText"/>
      </w:pPr>
      <w:r w:rsidRPr="002E4FE2">
        <w:t>4</w:t>
      </w:r>
      <w:r w:rsidR="002A6B18" w:rsidRPr="002E4FE2">
        <w:t>. This service standard measures the proportion of Aboriginal peoples and Torres Strait Islander peoples who, under the Youth Employment</w:t>
      </w:r>
      <w:r w:rsidR="002E4FE2">
        <w:t xml:space="preserve"> </w:t>
      </w:r>
      <w:r w:rsidR="002A6B18" w:rsidRPr="002E4FE2">
        <w:t xml:space="preserve">Program, remain in employment for six months after initial placement. </w:t>
      </w:r>
    </w:p>
    <w:p w14:paraId="05A57D34" w14:textId="4507FF9B" w:rsidR="002A6B18" w:rsidRPr="002E4FE2" w:rsidRDefault="004902B8" w:rsidP="00932845">
      <w:pPr>
        <w:pStyle w:val="EndnoteText"/>
      </w:pPr>
      <w:r w:rsidRPr="002E4FE2">
        <w:t>5</w:t>
      </w:r>
      <w:r w:rsidR="002A6B18" w:rsidRPr="002E4FE2">
        <w:t>. While the service standard related to three months post job placement is a key indicator of successful transitions to the workplace by Youth</w:t>
      </w:r>
      <w:r w:rsidR="002E4FE2">
        <w:t xml:space="preserve"> </w:t>
      </w:r>
      <w:r w:rsidR="002A6B18" w:rsidRPr="002E4FE2">
        <w:t>Employment Program candidates, the additional service standard of six months after placement provides an indication of successful job</w:t>
      </w:r>
      <w:r w:rsidR="008B09CB" w:rsidRPr="002E4FE2">
        <w:t xml:space="preserve"> </w:t>
      </w:r>
      <w:r w:rsidR="002A6B18" w:rsidRPr="002E4FE2">
        <w:t>retention and sustainable employment.</w:t>
      </w:r>
    </w:p>
    <w:p w14:paraId="178D8D9E" w14:textId="06F87180" w:rsidR="002A6B18" w:rsidRPr="002E4FE2" w:rsidRDefault="004902B8" w:rsidP="00932845">
      <w:pPr>
        <w:pStyle w:val="EndnoteText"/>
      </w:pPr>
      <w:r w:rsidRPr="002E4FE2">
        <w:lastRenderedPageBreak/>
        <w:t>6</w:t>
      </w:r>
      <w:r w:rsidR="002A6B18" w:rsidRPr="002E4FE2">
        <w:t>. This service standard relates to a Queensland Government initiative to facilitate home ownership in targeted communities through the</w:t>
      </w:r>
      <w:r w:rsidR="008B09CB" w:rsidRPr="002E4FE2">
        <w:t xml:space="preserve"> </w:t>
      </w:r>
      <w:r w:rsidR="002A6B18" w:rsidRPr="002E4FE2">
        <w:t>removal of legal and land tenure roadblocks to home ownership, to make land available for housing. Houses are deemed to be made</w:t>
      </w:r>
      <w:r w:rsidR="008B09CB" w:rsidRPr="002E4FE2">
        <w:t xml:space="preserve"> </w:t>
      </w:r>
      <w:r w:rsidR="002A6B18" w:rsidRPr="002E4FE2">
        <w:t>available for ownership after Native Title has been addressed, the lot survey has been completed and registered, the land trustee has</w:t>
      </w:r>
      <w:r w:rsidR="008B09CB" w:rsidRPr="002E4FE2">
        <w:t xml:space="preserve"> </w:t>
      </w:r>
      <w:r w:rsidR="002A6B18" w:rsidRPr="002E4FE2">
        <w:t>approved the home ownership application, and all development approvals have been approved by the council.</w:t>
      </w:r>
      <w:r w:rsidR="0073373B" w:rsidRPr="002E4FE2">
        <w:t xml:space="preserve"> Reporting for the period 1 July 2020 to 30 June 2021 there were 31 houses made available for ownership by Aboriginal peoples and Torres Strait Islander peoples in targeted communities through Queensland Government investment.</w:t>
      </w:r>
    </w:p>
    <w:p w14:paraId="4EC0CA77" w14:textId="5C0D3675" w:rsidR="002A6B18" w:rsidRPr="002E4FE2" w:rsidRDefault="004902B8" w:rsidP="00932845">
      <w:pPr>
        <w:pStyle w:val="EndnoteText"/>
      </w:pPr>
      <w:r w:rsidRPr="002E4FE2">
        <w:t>7</w:t>
      </w:r>
      <w:r w:rsidR="002A6B18" w:rsidRPr="002E4FE2">
        <w:t>. Targeted communities include: Aurukun, Cherbourg, Woorabinda, Doomadgee, Hope Vale, Kowanyama, Lockhart River, Mapoon,</w:t>
      </w:r>
      <w:r w:rsidR="002E4FE2">
        <w:t xml:space="preserve"> </w:t>
      </w:r>
      <w:r w:rsidR="002A6B18" w:rsidRPr="002E4FE2">
        <w:t xml:space="preserve">Mornington Island, </w:t>
      </w:r>
      <w:proofErr w:type="spellStart"/>
      <w:r w:rsidR="002A6B18" w:rsidRPr="002E4FE2">
        <w:t>Napranum</w:t>
      </w:r>
      <w:proofErr w:type="spellEnd"/>
      <w:r w:rsidR="002A6B18" w:rsidRPr="002E4FE2">
        <w:t xml:space="preserve">, Northern Peninsula Area (five communities), Palm Island, </w:t>
      </w:r>
      <w:proofErr w:type="spellStart"/>
      <w:r w:rsidR="002A6B18" w:rsidRPr="002E4FE2">
        <w:t>Pormpuraaw</w:t>
      </w:r>
      <w:proofErr w:type="spellEnd"/>
      <w:r w:rsidR="002A6B18" w:rsidRPr="002E4FE2">
        <w:t xml:space="preserve">, Yarrabah, </w:t>
      </w:r>
      <w:proofErr w:type="spellStart"/>
      <w:r w:rsidR="002A6B18" w:rsidRPr="002E4FE2">
        <w:t>Wujal</w:t>
      </w:r>
      <w:proofErr w:type="spellEnd"/>
      <w:r w:rsidR="00C76F73" w:rsidRPr="002E4FE2">
        <w:t xml:space="preserve"> </w:t>
      </w:r>
      <w:proofErr w:type="spellStart"/>
      <w:r w:rsidR="002A6B18" w:rsidRPr="002E4FE2">
        <w:t>Wujal</w:t>
      </w:r>
      <w:proofErr w:type="spellEnd"/>
      <w:r w:rsidR="002A6B18" w:rsidRPr="002E4FE2">
        <w:t>, the Torres</w:t>
      </w:r>
      <w:r w:rsidR="002E4FE2">
        <w:t xml:space="preserve"> </w:t>
      </w:r>
      <w:r w:rsidR="002A6B18" w:rsidRPr="002E4FE2">
        <w:t>Strait (15 islands), Coen and Mossman Gorge.</w:t>
      </w:r>
    </w:p>
    <w:p w14:paraId="453A03CA" w14:textId="0F9C5498" w:rsidR="002A6B18" w:rsidRPr="002E4FE2" w:rsidRDefault="004902B8" w:rsidP="00222923">
      <w:pPr>
        <w:pStyle w:val="EndnoteText"/>
      </w:pPr>
      <w:r w:rsidRPr="002E4FE2">
        <w:t>8</w:t>
      </w:r>
      <w:r w:rsidR="002A6B18" w:rsidRPr="002E4FE2">
        <w:t>. This is a proxy measure of effectiveness measuring the Queensland Government’s progress in growing the number of Aboriginal and</w:t>
      </w:r>
      <w:r w:rsidR="002E4FE2">
        <w:t xml:space="preserve"> </w:t>
      </w:r>
      <w:r w:rsidR="002A6B18" w:rsidRPr="002E4FE2">
        <w:t>Torres Strait Islander businesses that have secured Government procurement. The department contributes to this measure by connecting</w:t>
      </w:r>
      <w:r w:rsidR="008B09CB" w:rsidRPr="002E4FE2">
        <w:t xml:space="preserve"> </w:t>
      </w:r>
      <w:r w:rsidR="002A6B18" w:rsidRPr="002E4FE2">
        <w:t>agency and industry business supply and employment opportunities, and by linking investments that support Aboriginal and Torres Strait</w:t>
      </w:r>
      <w:r w:rsidR="00B93C9D" w:rsidRPr="002E4FE2">
        <w:t xml:space="preserve"> </w:t>
      </w:r>
      <w:r w:rsidR="002A6B18" w:rsidRPr="002E4FE2">
        <w:t>Islander businesses to build capability/capacity to win procurement contracts.</w:t>
      </w:r>
      <w:r w:rsidR="00B93C9D" w:rsidRPr="002E4FE2">
        <w:t xml:space="preserve"> </w:t>
      </w:r>
      <w:r w:rsidR="00222923">
        <w:t>The data is complete for the period 1 October 2020 to 30 June 2021. The number of Aboriginal and Torres Strait Islander businesses that secured government procurement for the first time during this period was 180. During the period 1 July 2020 to 30 June 2021, 474 Aboriginal and Torres Strait Islander businesses secured government procurement.</w:t>
      </w:r>
    </w:p>
    <w:p w14:paraId="67DC1614" w14:textId="54B45000" w:rsidR="00222923" w:rsidRDefault="004902B8" w:rsidP="00A54054">
      <w:pPr>
        <w:pStyle w:val="EndnoteText"/>
      </w:pPr>
      <w:r w:rsidRPr="00222923">
        <w:t>9</w:t>
      </w:r>
      <w:r w:rsidR="002A6B18" w:rsidRPr="00222923">
        <w:t>.</w:t>
      </w:r>
      <w:r w:rsidR="00222923" w:rsidRPr="00222923">
        <w:t xml:space="preserve"> </w:t>
      </w:r>
      <w:r w:rsidR="00A54054">
        <w:t>This is a Whole of Government service standard which measures the Queensland Government’s progress in increasing the total value of government procurement from known Aboriginal and Torres Strait Islander businesses (including not-for-profit organisations). The spend data was reported as $78.82M in the DATSIP Final Report. It should be noted that this figure has been reviewed and amended to $79.23M for that period. The amended amount has been included in the full financial year figure. The data is complete for the period 1 October 2020 to 30 June 2021. During the period 1 July 2020 to 30 June 2021, the total value of government procurement from Aboriginal and Torres Strait Islander businesses was $322.59M. The variance between the 2020–2021 actual and 2020–2021 estimated target was due to the procurement value being affected by an increase in construction works utilising grants, which are not included under the Queensland Indigenous (Aboriginal and Torres Strait Islander) Procurement Policy (QIPP). While the change has resulted in a reduction in QIPP outcomes, it does not indicate an adverse outcome per se; that is, spending in Aboriginal and Torres Strait Islander Council areas is still occurring.</w:t>
      </w:r>
    </w:p>
    <w:p w14:paraId="3CF50EEF" w14:textId="582D95E3" w:rsidR="002A6B18" w:rsidRPr="00222923" w:rsidRDefault="004902B8" w:rsidP="00222923">
      <w:pPr>
        <w:pStyle w:val="EndnoteText"/>
      </w:pPr>
      <w:r w:rsidRPr="002E4FE2">
        <w:t>10</w:t>
      </w:r>
      <w:r w:rsidR="002A6B18" w:rsidRPr="002E4FE2">
        <w:t>. This service standard assesses the department’s efficiency in delivering economic participation policy advice and development by</w:t>
      </w:r>
      <w:r w:rsidR="008B09CB" w:rsidRPr="002E4FE2">
        <w:t xml:space="preserve"> </w:t>
      </w:r>
      <w:r w:rsidR="002A6B18" w:rsidRPr="002E4FE2">
        <w:t>monitoring trend data over time in relation to the total cost per hour of economic participation policy advice and development delivered.</w:t>
      </w:r>
    </w:p>
    <w:p w14:paraId="2E2C34B6" w14:textId="6296E703" w:rsidR="00FD6AE9" w:rsidRPr="00932845" w:rsidRDefault="002A6B18" w:rsidP="00932845">
      <w:pPr>
        <w:pStyle w:val="EndnoteText"/>
      </w:pPr>
      <w:r w:rsidRPr="002E4FE2">
        <w:t>1</w:t>
      </w:r>
      <w:r w:rsidR="00471DF0" w:rsidRPr="002E4FE2">
        <w:t>1</w:t>
      </w:r>
      <w:r w:rsidRPr="002E4FE2">
        <w:t xml:space="preserve">. The calculation of this figure is based on the department’s </w:t>
      </w:r>
      <w:r w:rsidR="000259D5" w:rsidRPr="002E4FE2">
        <w:t xml:space="preserve">Aboriginal and Torres Strait Islander Partnerships </w:t>
      </w:r>
      <w:r w:rsidRPr="002E4FE2">
        <w:t>Policy Branch costs which include salaries and operating costs such as</w:t>
      </w:r>
      <w:r w:rsidR="008B09CB" w:rsidRPr="002E4FE2">
        <w:t xml:space="preserve"> </w:t>
      </w:r>
      <w:r w:rsidRPr="002E4FE2">
        <w:t>telecommunications, accommodation and corporate costs related to the provision of routine economic participation policy advice and policy</w:t>
      </w:r>
      <w:r w:rsidR="008B09CB" w:rsidRPr="002E4FE2">
        <w:t xml:space="preserve"> </w:t>
      </w:r>
      <w:r w:rsidRPr="002E4FE2">
        <w:t>development.</w:t>
      </w:r>
    </w:p>
    <w:p w14:paraId="470D6297" w14:textId="127B2C19" w:rsidR="00D13AD1" w:rsidRPr="00222923" w:rsidRDefault="00D13AD1" w:rsidP="00932845">
      <w:pPr>
        <w:pStyle w:val="EndnoteText"/>
      </w:pPr>
      <w:r w:rsidRPr="00222923">
        <w:br w:type="page"/>
      </w:r>
    </w:p>
    <w:p w14:paraId="5AA1B17B" w14:textId="0E3041BD" w:rsidR="002A6B18" w:rsidRPr="00656566" w:rsidRDefault="002A6B18" w:rsidP="00797BC9">
      <w:pPr>
        <w:pStyle w:val="Heading3"/>
        <w:spacing w:after="240"/>
        <w:rPr>
          <w:rFonts w:eastAsia="Calibri"/>
        </w:rPr>
      </w:pPr>
      <w:r w:rsidRPr="00656566">
        <w:rPr>
          <w:rFonts w:eastAsia="Calibri"/>
        </w:rPr>
        <w:lastRenderedPageBreak/>
        <w:t>Aboriginal and Torres Strait Islander Partnerships</w:t>
      </w:r>
      <w:r w:rsidR="00471DF0" w:rsidRPr="00656566">
        <w:rPr>
          <w:rFonts w:eastAsia="Calibri"/>
        </w:rPr>
        <w:t xml:space="preserve"> - Community Participation </w:t>
      </w:r>
    </w:p>
    <w:tbl>
      <w:tblPr>
        <w:tblStyle w:val="TableGrid1"/>
        <w:tblW w:w="10495" w:type="dxa"/>
        <w:tblInd w:w="-5" w:type="dxa"/>
        <w:tblLayout w:type="fixed"/>
        <w:tblCellMar>
          <w:left w:w="0" w:type="dxa"/>
          <w:right w:w="0" w:type="dxa"/>
        </w:tblCellMar>
        <w:tblLook w:val="01E0" w:firstRow="1" w:lastRow="1" w:firstColumn="1" w:lastColumn="1" w:noHBand="0" w:noVBand="0"/>
      </w:tblPr>
      <w:tblGrid>
        <w:gridCol w:w="6691"/>
        <w:gridCol w:w="1303"/>
        <w:gridCol w:w="1112"/>
        <w:gridCol w:w="65"/>
        <w:gridCol w:w="1324"/>
      </w:tblGrid>
      <w:tr w:rsidR="00656566" w:rsidRPr="008E0DAB" w14:paraId="0750005D" w14:textId="77777777" w:rsidTr="00167DC4">
        <w:trPr>
          <w:trHeight w:val="20"/>
        </w:trPr>
        <w:tc>
          <w:tcPr>
            <w:tcW w:w="6691" w:type="dxa"/>
            <w:shd w:val="clear" w:color="auto" w:fill="939598"/>
            <w:vAlign w:val="center"/>
          </w:tcPr>
          <w:p w14:paraId="2D6E977B" w14:textId="7DEAB5DE" w:rsidR="00656566" w:rsidRPr="00B06206" w:rsidRDefault="00656566" w:rsidP="00656566">
            <w:pPr>
              <w:rPr>
                <w:rFonts w:ascii="Arial" w:hAnsi="Arial"/>
              </w:rPr>
            </w:pPr>
            <w:r w:rsidRPr="00B06206">
              <w:rPr>
                <w:rFonts w:ascii="Arial" w:hAnsi="Arial"/>
              </w:rPr>
              <w:t xml:space="preserve">Department </w:t>
            </w:r>
            <w:r w:rsidR="00391F86" w:rsidRPr="00B06206">
              <w:rPr>
                <w:rFonts w:ascii="Arial" w:hAnsi="Arial"/>
              </w:rPr>
              <w:t>o</w:t>
            </w:r>
            <w:r w:rsidRPr="00B06206">
              <w:rPr>
                <w:rFonts w:ascii="Arial" w:hAnsi="Arial"/>
              </w:rPr>
              <w:t>f Seniors, Disability Services and Aboriginal and Torres Strait Islander Partnerships</w:t>
            </w:r>
          </w:p>
        </w:tc>
        <w:tc>
          <w:tcPr>
            <w:tcW w:w="1303" w:type="dxa"/>
            <w:shd w:val="clear" w:color="auto" w:fill="939598"/>
            <w:vAlign w:val="center"/>
          </w:tcPr>
          <w:p w14:paraId="122A9820" w14:textId="77777777" w:rsidR="00656566" w:rsidRPr="00B06206" w:rsidRDefault="00656566" w:rsidP="00656566">
            <w:pPr>
              <w:rPr>
                <w:rFonts w:ascii="Arial" w:hAnsi="Arial"/>
              </w:rPr>
            </w:pPr>
            <w:r w:rsidRPr="00B06206">
              <w:rPr>
                <w:rFonts w:ascii="Arial" w:hAnsi="Arial"/>
              </w:rPr>
              <w:t>Notes</w:t>
            </w:r>
          </w:p>
        </w:tc>
        <w:tc>
          <w:tcPr>
            <w:tcW w:w="1177" w:type="dxa"/>
            <w:gridSpan w:val="2"/>
            <w:shd w:val="clear" w:color="auto" w:fill="939598"/>
            <w:vAlign w:val="center"/>
          </w:tcPr>
          <w:p w14:paraId="071ABFB9" w14:textId="77777777" w:rsidR="00656566" w:rsidRPr="00B06206" w:rsidRDefault="00656566" w:rsidP="00656566">
            <w:pPr>
              <w:rPr>
                <w:rFonts w:ascii="Arial" w:hAnsi="Arial"/>
              </w:rPr>
            </w:pPr>
            <w:r w:rsidRPr="00B06206">
              <w:rPr>
                <w:rFonts w:ascii="Arial" w:hAnsi="Arial"/>
              </w:rPr>
              <w:t>2020-2021</w:t>
            </w:r>
          </w:p>
          <w:p w14:paraId="2839C33F" w14:textId="77777777" w:rsidR="00656566" w:rsidRPr="00B06206" w:rsidRDefault="00656566" w:rsidP="00656566">
            <w:pPr>
              <w:rPr>
                <w:rFonts w:ascii="Arial" w:hAnsi="Arial"/>
              </w:rPr>
            </w:pPr>
            <w:r w:rsidRPr="00B06206">
              <w:rPr>
                <w:rFonts w:ascii="Arial" w:hAnsi="Arial"/>
              </w:rPr>
              <w:t>Target/est.</w:t>
            </w:r>
          </w:p>
        </w:tc>
        <w:tc>
          <w:tcPr>
            <w:tcW w:w="1324" w:type="dxa"/>
            <w:shd w:val="clear" w:color="auto" w:fill="939598"/>
            <w:vAlign w:val="center"/>
          </w:tcPr>
          <w:p w14:paraId="4B0413B7" w14:textId="77777777" w:rsidR="00656566" w:rsidRPr="00B06206" w:rsidRDefault="00656566" w:rsidP="00656566">
            <w:pPr>
              <w:rPr>
                <w:rFonts w:ascii="Arial" w:hAnsi="Arial"/>
              </w:rPr>
            </w:pPr>
            <w:r w:rsidRPr="00B06206">
              <w:rPr>
                <w:rFonts w:ascii="Arial" w:hAnsi="Arial"/>
              </w:rPr>
              <w:t xml:space="preserve">2020-2021 </w:t>
            </w:r>
          </w:p>
          <w:p w14:paraId="7675266C" w14:textId="796513E6" w:rsidR="00656566" w:rsidRPr="00B06206" w:rsidRDefault="00656566" w:rsidP="00656566">
            <w:pPr>
              <w:rPr>
                <w:rFonts w:ascii="Arial" w:hAnsi="Arial"/>
              </w:rPr>
            </w:pPr>
            <w:r w:rsidRPr="00B06206">
              <w:rPr>
                <w:rFonts w:ascii="Arial" w:hAnsi="Arial"/>
              </w:rPr>
              <w:t>Actual (1</w:t>
            </w:r>
            <w:r w:rsidR="00122803" w:rsidRPr="00B06206">
              <w:rPr>
                <w:rFonts w:ascii="Arial" w:hAnsi="Arial"/>
              </w:rPr>
              <w:t>3 November</w:t>
            </w:r>
            <w:r w:rsidRPr="00B06206">
              <w:rPr>
                <w:rFonts w:ascii="Arial" w:hAnsi="Arial"/>
              </w:rPr>
              <w:t xml:space="preserve"> 2020 – 30 </w:t>
            </w:r>
            <w:r w:rsidR="00A152EE" w:rsidRPr="00B06206">
              <w:rPr>
                <w:rFonts w:ascii="Arial" w:hAnsi="Arial"/>
              </w:rPr>
              <w:t>June</w:t>
            </w:r>
            <w:r w:rsidRPr="00B06206">
              <w:rPr>
                <w:rFonts w:ascii="Arial" w:hAnsi="Arial"/>
              </w:rPr>
              <w:t xml:space="preserve"> 2021)</w:t>
            </w:r>
          </w:p>
        </w:tc>
      </w:tr>
      <w:tr w:rsidR="00A31C9B" w:rsidRPr="00656566" w14:paraId="2146091B" w14:textId="77777777" w:rsidTr="00167DC4">
        <w:trPr>
          <w:trHeight w:val="20"/>
        </w:trPr>
        <w:tc>
          <w:tcPr>
            <w:tcW w:w="10495" w:type="dxa"/>
            <w:gridSpan w:val="5"/>
            <w:shd w:val="clear" w:color="auto" w:fill="DCDDDE"/>
          </w:tcPr>
          <w:p w14:paraId="36958618" w14:textId="4B685FC1" w:rsidR="00A31C9B" w:rsidRPr="00B06206" w:rsidRDefault="00391F86" w:rsidP="00656566">
            <w:pPr>
              <w:rPr>
                <w:rFonts w:ascii="Arial" w:hAnsi="Arial"/>
              </w:rPr>
            </w:pPr>
            <w:r w:rsidRPr="00B06206">
              <w:rPr>
                <w:rFonts w:ascii="Arial" w:hAnsi="Arial"/>
              </w:rPr>
              <w:t>Service area:  ABORIGINAL AND TORRES STRAIT ISLANDER PARTNERSHIPS – COMMUNITY PARTICIPATION</w:t>
            </w:r>
            <w:r w:rsidRPr="00B06206">
              <w:rPr>
                <w:rFonts w:ascii="Arial" w:hAnsi="Arial"/>
                <w:vertAlign w:val="superscript"/>
              </w:rPr>
              <w:t>1</w:t>
            </w:r>
          </w:p>
        </w:tc>
      </w:tr>
      <w:tr w:rsidR="00A31C9B" w:rsidRPr="00656566" w14:paraId="25E4B1CF" w14:textId="77777777" w:rsidTr="00167DC4">
        <w:trPr>
          <w:trHeight w:val="20"/>
        </w:trPr>
        <w:tc>
          <w:tcPr>
            <w:tcW w:w="6691" w:type="dxa"/>
          </w:tcPr>
          <w:p w14:paraId="16D8281A" w14:textId="77777777" w:rsidR="00A31C9B" w:rsidRPr="00B06206" w:rsidRDefault="00A31C9B" w:rsidP="00656566">
            <w:pPr>
              <w:rPr>
                <w:rFonts w:ascii="Arial" w:hAnsi="Arial"/>
              </w:rPr>
            </w:pPr>
            <w:r w:rsidRPr="00B06206">
              <w:rPr>
                <w:rFonts w:ascii="Arial" w:hAnsi="Arial"/>
              </w:rPr>
              <w:t>Service standards</w:t>
            </w:r>
          </w:p>
          <w:p w14:paraId="7D87385F" w14:textId="77777777" w:rsidR="00A31C9B" w:rsidRPr="00B06206" w:rsidRDefault="00A31C9B" w:rsidP="00656566">
            <w:pPr>
              <w:rPr>
                <w:rFonts w:ascii="Arial" w:hAnsi="Arial"/>
              </w:rPr>
            </w:pPr>
            <w:r w:rsidRPr="00B06206">
              <w:rPr>
                <w:rFonts w:ascii="Arial" w:hAnsi="Arial"/>
              </w:rPr>
              <w:t>Effectiveness measure</w:t>
            </w:r>
          </w:p>
          <w:p w14:paraId="478A86ED" w14:textId="77777777" w:rsidR="00A31C9B" w:rsidRPr="00B06206" w:rsidRDefault="00A31C9B" w:rsidP="00656566">
            <w:pPr>
              <w:rPr>
                <w:rFonts w:ascii="Arial" w:hAnsi="Arial"/>
              </w:rPr>
            </w:pPr>
            <w:r w:rsidRPr="00B06206">
              <w:rPr>
                <w:rFonts w:ascii="Arial" w:hAnsi="Arial"/>
              </w:rPr>
              <w:t>Customer satisfaction with cultural heritage services provided by the department</w:t>
            </w:r>
          </w:p>
        </w:tc>
        <w:tc>
          <w:tcPr>
            <w:tcW w:w="1303" w:type="dxa"/>
          </w:tcPr>
          <w:p w14:paraId="245EDD69" w14:textId="7939BA79" w:rsidR="00A31C9B" w:rsidRPr="00B06206" w:rsidRDefault="0039178E" w:rsidP="00797BC9">
            <w:pPr>
              <w:spacing w:before="1200"/>
              <w:rPr>
                <w:rFonts w:ascii="Arial" w:hAnsi="Arial"/>
              </w:rPr>
            </w:pPr>
            <w:r w:rsidRPr="00B06206">
              <w:rPr>
                <w:rFonts w:ascii="Arial" w:hAnsi="Arial"/>
              </w:rPr>
              <w:t xml:space="preserve">1, </w:t>
            </w:r>
            <w:r w:rsidR="00A31C9B" w:rsidRPr="00B06206">
              <w:rPr>
                <w:rFonts w:ascii="Arial" w:hAnsi="Arial"/>
              </w:rPr>
              <w:t>2</w:t>
            </w:r>
            <w:r w:rsidR="00471DF0" w:rsidRPr="00B06206">
              <w:rPr>
                <w:rFonts w:ascii="Arial" w:hAnsi="Arial"/>
              </w:rPr>
              <w:t>, 3</w:t>
            </w:r>
          </w:p>
        </w:tc>
        <w:tc>
          <w:tcPr>
            <w:tcW w:w="1112" w:type="dxa"/>
          </w:tcPr>
          <w:p w14:paraId="7E9635A2" w14:textId="77777777" w:rsidR="00A31C9B" w:rsidRPr="00B06206" w:rsidRDefault="00A31C9B" w:rsidP="00797BC9">
            <w:pPr>
              <w:spacing w:before="1200"/>
              <w:rPr>
                <w:rFonts w:ascii="Arial" w:hAnsi="Arial"/>
              </w:rPr>
            </w:pPr>
            <w:r w:rsidRPr="00B06206">
              <w:rPr>
                <w:rFonts w:ascii="Arial" w:hAnsi="Arial"/>
              </w:rPr>
              <w:t>75%</w:t>
            </w:r>
          </w:p>
        </w:tc>
        <w:tc>
          <w:tcPr>
            <w:tcW w:w="1389" w:type="dxa"/>
            <w:gridSpan w:val="2"/>
          </w:tcPr>
          <w:p w14:paraId="19607E94" w14:textId="0229244E" w:rsidR="00A31C9B" w:rsidRPr="00B06206" w:rsidRDefault="00C6384F" w:rsidP="00797BC9">
            <w:pPr>
              <w:spacing w:before="1200"/>
              <w:rPr>
                <w:rFonts w:ascii="Arial" w:hAnsi="Arial"/>
              </w:rPr>
            </w:pPr>
            <w:r w:rsidRPr="00B06206">
              <w:rPr>
                <w:rFonts w:ascii="Arial" w:hAnsi="Arial"/>
              </w:rPr>
              <w:t>82%</w:t>
            </w:r>
          </w:p>
        </w:tc>
      </w:tr>
      <w:tr w:rsidR="00A31C9B" w:rsidRPr="00656566" w14:paraId="3AC47914" w14:textId="77777777" w:rsidTr="00167DC4">
        <w:trPr>
          <w:trHeight w:val="20"/>
        </w:trPr>
        <w:tc>
          <w:tcPr>
            <w:tcW w:w="6691" w:type="dxa"/>
          </w:tcPr>
          <w:p w14:paraId="518614F6" w14:textId="77777777" w:rsidR="00A31C9B" w:rsidRPr="00B06206" w:rsidRDefault="00A31C9B" w:rsidP="00656566">
            <w:pPr>
              <w:rPr>
                <w:rFonts w:ascii="Arial" w:hAnsi="Arial"/>
              </w:rPr>
            </w:pPr>
            <w:r w:rsidRPr="00B06206">
              <w:rPr>
                <w:rFonts w:ascii="Arial" w:hAnsi="Arial"/>
              </w:rPr>
              <w:t>Efficiency measures</w:t>
            </w:r>
          </w:p>
          <w:p w14:paraId="1FDEF524" w14:textId="77777777" w:rsidR="00A31C9B" w:rsidRPr="00B06206" w:rsidRDefault="00A31C9B" w:rsidP="00656566">
            <w:pPr>
              <w:rPr>
                <w:rFonts w:ascii="Arial" w:hAnsi="Arial"/>
              </w:rPr>
            </w:pPr>
            <w:r w:rsidRPr="00B06206">
              <w:rPr>
                <w:rFonts w:ascii="Arial" w:hAnsi="Arial"/>
              </w:rPr>
              <w:t>Average cost per cultural heritage search request processed</w:t>
            </w:r>
          </w:p>
        </w:tc>
        <w:tc>
          <w:tcPr>
            <w:tcW w:w="1303" w:type="dxa"/>
          </w:tcPr>
          <w:p w14:paraId="27532B37" w14:textId="044B8F01" w:rsidR="00A31C9B" w:rsidRPr="00B06206" w:rsidRDefault="0039178E" w:rsidP="00797BC9">
            <w:pPr>
              <w:spacing w:before="480"/>
              <w:rPr>
                <w:rFonts w:ascii="Arial" w:hAnsi="Arial"/>
              </w:rPr>
            </w:pPr>
            <w:r w:rsidRPr="00B06206">
              <w:rPr>
                <w:rFonts w:ascii="Arial" w:hAnsi="Arial"/>
              </w:rPr>
              <w:t xml:space="preserve">1, </w:t>
            </w:r>
            <w:r w:rsidR="00A31C9B" w:rsidRPr="00B06206">
              <w:rPr>
                <w:rFonts w:ascii="Arial" w:hAnsi="Arial"/>
              </w:rPr>
              <w:t>4</w:t>
            </w:r>
            <w:r w:rsidR="00471DF0" w:rsidRPr="00B06206">
              <w:rPr>
                <w:rFonts w:ascii="Arial" w:hAnsi="Arial"/>
              </w:rPr>
              <w:t>, 5</w:t>
            </w:r>
          </w:p>
        </w:tc>
        <w:tc>
          <w:tcPr>
            <w:tcW w:w="1112" w:type="dxa"/>
          </w:tcPr>
          <w:p w14:paraId="41ACD3E9" w14:textId="77777777" w:rsidR="00A31C9B" w:rsidRPr="00B06206" w:rsidRDefault="00A31C9B" w:rsidP="00797BC9">
            <w:pPr>
              <w:spacing w:before="480"/>
              <w:rPr>
                <w:rFonts w:ascii="Arial" w:hAnsi="Arial"/>
              </w:rPr>
            </w:pPr>
            <w:r w:rsidRPr="00B06206">
              <w:rPr>
                <w:rFonts w:ascii="Arial" w:hAnsi="Arial"/>
              </w:rPr>
              <w:t>$33</w:t>
            </w:r>
          </w:p>
        </w:tc>
        <w:tc>
          <w:tcPr>
            <w:tcW w:w="1389" w:type="dxa"/>
            <w:gridSpan w:val="2"/>
          </w:tcPr>
          <w:p w14:paraId="4AA1C30C" w14:textId="7B2A2B92" w:rsidR="00A31C9B" w:rsidRPr="00B06206" w:rsidRDefault="00A31C9B" w:rsidP="00797BC9">
            <w:pPr>
              <w:spacing w:before="480"/>
              <w:rPr>
                <w:rFonts w:ascii="Arial" w:hAnsi="Arial"/>
              </w:rPr>
            </w:pPr>
            <w:r w:rsidRPr="00B06206">
              <w:rPr>
                <w:rFonts w:ascii="Arial" w:hAnsi="Arial"/>
              </w:rPr>
              <w:t>$</w:t>
            </w:r>
            <w:r w:rsidR="002B1C76" w:rsidRPr="00B06206">
              <w:rPr>
                <w:rFonts w:ascii="Arial" w:hAnsi="Arial"/>
              </w:rPr>
              <w:t>24</w:t>
            </w:r>
            <w:r w:rsidR="00167DC4" w:rsidRPr="00B06206">
              <w:rPr>
                <w:rFonts w:ascii="Arial" w:hAnsi="Arial"/>
              </w:rPr>
              <w:t>*</w:t>
            </w:r>
          </w:p>
        </w:tc>
      </w:tr>
      <w:tr w:rsidR="00716C5F" w:rsidRPr="00656566" w14:paraId="789DD06D" w14:textId="77777777" w:rsidTr="00167DC4">
        <w:trPr>
          <w:trHeight w:val="20"/>
        </w:trPr>
        <w:tc>
          <w:tcPr>
            <w:tcW w:w="6691" w:type="dxa"/>
          </w:tcPr>
          <w:p w14:paraId="4175C0EE" w14:textId="77777777" w:rsidR="00A31C9B" w:rsidRPr="00B06206" w:rsidRDefault="00A31C9B" w:rsidP="00656566">
            <w:pPr>
              <w:rPr>
                <w:rFonts w:ascii="Arial" w:hAnsi="Arial"/>
              </w:rPr>
            </w:pPr>
            <w:r w:rsidRPr="00B06206">
              <w:rPr>
                <w:rFonts w:ascii="Arial" w:hAnsi="Arial"/>
              </w:rPr>
              <w:t>Average cost per community and personal histories request processed</w:t>
            </w:r>
          </w:p>
        </w:tc>
        <w:tc>
          <w:tcPr>
            <w:tcW w:w="1303" w:type="dxa"/>
          </w:tcPr>
          <w:p w14:paraId="446FC50A" w14:textId="4827E4CF" w:rsidR="00A31C9B" w:rsidRPr="00B06206" w:rsidRDefault="0039178E" w:rsidP="00656566">
            <w:pPr>
              <w:rPr>
                <w:rFonts w:ascii="Arial" w:hAnsi="Arial"/>
              </w:rPr>
            </w:pPr>
            <w:r w:rsidRPr="00B06206">
              <w:rPr>
                <w:rFonts w:ascii="Arial" w:hAnsi="Arial"/>
              </w:rPr>
              <w:t xml:space="preserve">1, </w:t>
            </w:r>
            <w:r w:rsidR="00A31C9B" w:rsidRPr="00B06206">
              <w:rPr>
                <w:rFonts w:ascii="Arial" w:hAnsi="Arial"/>
              </w:rPr>
              <w:t>6</w:t>
            </w:r>
            <w:r w:rsidR="00471DF0" w:rsidRPr="00B06206">
              <w:rPr>
                <w:rFonts w:ascii="Arial" w:hAnsi="Arial"/>
              </w:rPr>
              <w:t>, 7</w:t>
            </w:r>
          </w:p>
        </w:tc>
        <w:tc>
          <w:tcPr>
            <w:tcW w:w="1112" w:type="dxa"/>
          </w:tcPr>
          <w:p w14:paraId="4CC669BB" w14:textId="77777777" w:rsidR="00A31C9B" w:rsidRPr="00B06206" w:rsidRDefault="00A31C9B" w:rsidP="00656566">
            <w:pPr>
              <w:rPr>
                <w:rFonts w:ascii="Arial" w:hAnsi="Arial"/>
              </w:rPr>
            </w:pPr>
            <w:r w:rsidRPr="00B06206">
              <w:rPr>
                <w:rFonts w:ascii="Arial" w:hAnsi="Arial"/>
              </w:rPr>
              <w:t>$5,</w:t>
            </w:r>
            <w:r w:rsidR="001327B3" w:rsidRPr="00B06206">
              <w:rPr>
                <w:rFonts w:ascii="Arial" w:hAnsi="Arial"/>
              </w:rPr>
              <w:t>310</w:t>
            </w:r>
          </w:p>
        </w:tc>
        <w:tc>
          <w:tcPr>
            <w:tcW w:w="1389" w:type="dxa"/>
            <w:gridSpan w:val="2"/>
          </w:tcPr>
          <w:p w14:paraId="25062A9F" w14:textId="1BD67BE6" w:rsidR="00A31C9B" w:rsidRPr="00B06206" w:rsidRDefault="00A31C9B" w:rsidP="00656566">
            <w:pPr>
              <w:rPr>
                <w:rFonts w:ascii="Arial" w:hAnsi="Arial"/>
              </w:rPr>
            </w:pPr>
            <w:r w:rsidRPr="00B06206">
              <w:rPr>
                <w:rFonts w:ascii="Arial" w:hAnsi="Arial"/>
              </w:rPr>
              <w:t>$</w:t>
            </w:r>
            <w:r w:rsidR="0046686E" w:rsidRPr="00B06206">
              <w:rPr>
                <w:rFonts w:ascii="Arial" w:hAnsi="Arial"/>
              </w:rPr>
              <w:t>5,109</w:t>
            </w:r>
            <w:r w:rsidR="00167DC4" w:rsidRPr="00B06206">
              <w:rPr>
                <w:rFonts w:ascii="Arial" w:hAnsi="Arial"/>
              </w:rPr>
              <w:t>*</w:t>
            </w:r>
          </w:p>
        </w:tc>
      </w:tr>
      <w:tr w:rsidR="00A31C9B" w:rsidRPr="00656566" w14:paraId="7D7DFE97" w14:textId="77777777" w:rsidTr="00167DC4">
        <w:trPr>
          <w:trHeight w:val="20"/>
        </w:trPr>
        <w:tc>
          <w:tcPr>
            <w:tcW w:w="6691" w:type="dxa"/>
          </w:tcPr>
          <w:p w14:paraId="37344C6C" w14:textId="77777777" w:rsidR="00A31C9B" w:rsidRPr="00B06206" w:rsidRDefault="00A31C9B" w:rsidP="00656566">
            <w:pPr>
              <w:rPr>
                <w:rFonts w:ascii="Arial" w:hAnsi="Arial"/>
              </w:rPr>
            </w:pPr>
            <w:r w:rsidRPr="00B06206">
              <w:rPr>
                <w:rFonts w:ascii="Arial" w:hAnsi="Arial"/>
              </w:rPr>
              <w:t>Total cost per hour of community participation policy</w:t>
            </w:r>
          </w:p>
        </w:tc>
        <w:tc>
          <w:tcPr>
            <w:tcW w:w="1303" w:type="dxa"/>
          </w:tcPr>
          <w:p w14:paraId="6C1ABBB3" w14:textId="76B14D4F" w:rsidR="00A31C9B" w:rsidRPr="00B06206" w:rsidRDefault="0039178E" w:rsidP="00656566">
            <w:pPr>
              <w:rPr>
                <w:rFonts w:ascii="Arial" w:hAnsi="Arial"/>
              </w:rPr>
            </w:pPr>
            <w:r w:rsidRPr="00B06206">
              <w:rPr>
                <w:rFonts w:ascii="Arial" w:hAnsi="Arial"/>
              </w:rPr>
              <w:t xml:space="preserve">1, </w:t>
            </w:r>
            <w:r w:rsidR="00471DF0" w:rsidRPr="00B06206">
              <w:rPr>
                <w:rFonts w:ascii="Arial" w:hAnsi="Arial"/>
              </w:rPr>
              <w:t>8, 9</w:t>
            </w:r>
          </w:p>
        </w:tc>
        <w:tc>
          <w:tcPr>
            <w:tcW w:w="1112" w:type="dxa"/>
          </w:tcPr>
          <w:p w14:paraId="047ADCB8" w14:textId="77777777" w:rsidR="00A31C9B" w:rsidRPr="00B06206" w:rsidRDefault="00A31C9B" w:rsidP="00656566">
            <w:pPr>
              <w:rPr>
                <w:rFonts w:ascii="Arial" w:hAnsi="Arial"/>
              </w:rPr>
            </w:pPr>
            <w:r w:rsidRPr="00B06206">
              <w:rPr>
                <w:rFonts w:ascii="Arial" w:hAnsi="Arial"/>
              </w:rPr>
              <w:t>$103</w:t>
            </w:r>
          </w:p>
        </w:tc>
        <w:tc>
          <w:tcPr>
            <w:tcW w:w="1389" w:type="dxa"/>
            <w:gridSpan w:val="2"/>
          </w:tcPr>
          <w:p w14:paraId="4ED932C8" w14:textId="0E5BE3C6" w:rsidR="00A31C9B" w:rsidRPr="00B06206" w:rsidRDefault="00A31C9B" w:rsidP="00656566">
            <w:pPr>
              <w:rPr>
                <w:rFonts w:ascii="Arial" w:hAnsi="Arial"/>
              </w:rPr>
            </w:pPr>
            <w:r w:rsidRPr="00B06206">
              <w:rPr>
                <w:rFonts w:ascii="Arial" w:hAnsi="Arial"/>
              </w:rPr>
              <w:t>$</w:t>
            </w:r>
            <w:r w:rsidR="002B1C76" w:rsidRPr="00B06206">
              <w:rPr>
                <w:rFonts w:ascii="Arial" w:hAnsi="Arial"/>
              </w:rPr>
              <w:t>102</w:t>
            </w:r>
            <w:r w:rsidR="00167DC4" w:rsidRPr="00B06206">
              <w:rPr>
                <w:rFonts w:ascii="Arial" w:hAnsi="Arial"/>
              </w:rPr>
              <w:t>*</w:t>
            </w:r>
          </w:p>
        </w:tc>
      </w:tr>
    </w:tbl>
    <w:p w14:paraId="62209814" w14:textId="2B736E91" w:rsidR="00167DC4" w:rsidRPr="00656566" w:rsidRDefault="00167DC4" w:rsidP="00797BC9">
      <w:pPr>
        <w:pStyle w:val="EndnoteText"/>
        <w:spacing w:after="240"/>
        <w:rPr>
          <w:rFonts w:eastAsia="Calibri"/>
        </w:rPr>
      </w:pPr>
      <w:r w:rsidRPr="008E0DAB">
        <w:t>*Additional performance information is provided in the former Department of Aboriginal and Torres Strait Islander Partnership</w:t>
      </w:r>
      <w:r w:rsidR="008E0DAB" w:rsidRPr="008E0DAB">
        <w:t>s</w:t>
      </w:r>
      <w:r w:rsidRPr="008E0DAB">
        <w:t xml:space="preserve"> Final Report: 1 July 2020 – 12 November 2020.</w:t>
      </w:r>
    </w:p>
    <w:p w14:paraId="45D781D6" w14:textId="77777777" w:rsidR="007B16AB" w:rsidRPr="00656566" w:rsidRDefault="007B16AB" w:rsidP="00656566">
      <w:pPr>
        <w:pStyle w:val="EndnoteText"/>
      </w:pPr>
      <w:r w:rsidRPr="00656566">
        <w:t>Notes:</w:t>
      </w:r>
    </w:p>
    <w:p w14:paraId="51F36E64" w14:textId="27E101EE" w:rsidR="007B16AB" w:rsidRPr="00656566" w:rsidRDefault="007B16AB" w:rsidP="00656566">
      <w:pPr>
        <w:pStyle w:val="EndnoteText"/>
      </w:pPr>
      <w:r w:rsidRPr="00656566">
        <w:t>1. This service area was previously presented in the former Department of Aboriginal and Torres Strait Islander Partnerships</w:t>
      </w:r>
      <w:r w:rsidR="008E0DAB">
        <w:t xml:space="preserve"> </w:t>
      </w:r>
      <w:r w:rsidR="001E5C6A" w:rsidRPr="00656566">
        <w:t>2019-2020</w:t>
      </w:r>
      <w:r w:rsidR="00471DF0" w:rsidRPr="00656566">
        <w:t xml:space="preserve"> Service Delivery Statement.</w:t>
      </w:r>
      <w:r w:rsidRPr="00656566">
        <w:t xml:space="preserve"> </w:t>
      </w:r>
    </w:p>
    <w:p w14:paraId="38A75B28" w14:textId="4FBA5512" w:rsidR="007B16AB" w:rsidRPr="00656566" w:rsidRDefault="007B16AB" w:rsidP="00656566">
      <w:pPr>
        <w:pStyle w:val="EndnoteText"/>
      </w:pPr>
      <w:r w:rsidRPr="00656566">
        <w:t>2. This service standard measures overall customer satisfaction with the delivery of cultural heritage services provided by the department through the Cultural Heritage Online Portal.</w:t>
      </w:r>
    </w:p>
    <w:p w14:paraId="1F01E641" w14:textId="6FE2CEBE" w:rsidR="007B16AB" w:rsidRPr="00656566" w:rsidRDefault="007B16AB" w:rsidP="00656566">
      <w:pPr>
        <w:pStyle w:val="EndnoteText"/>
      </w:pPr>
      <w:r w:rsidRPr="00656566">
        <w:t>3. The survey data is based on responses received from registered land users comprising local, state and Australian Government users, Government-owned corporations, non-Government organisations, legal firms, private companies and consultants; and the public, from 1 January to 31 December each year. Registered land users access the Cultural Heritage Online Portal to ensure that they comply with their cultural heritage duty of care.</w:t>
      </w:r>
    </w:p>
    <w:p w14:paraId="469F6946" w14:textId="6FB66E65" w:rsidR="007B16AB" w:rsidRPr="00656566" w:rsidRDefault="007B16AB" w:rsidP="00656566">
      <w:pPr>
        <w:pStyle w:val="EndnoteText"/>
      </w:pPr>
      <w:r w:rsidRPr="00656566">
        <w:t>4. This service standard measures the efficiency of the department’s cultural heritage search request processes. The cost per search request processed calculation is based on the number of search requests received, staffing costs, costs related to providing and maintaining the Cultural Heritage Database system, and operating costs such as accommodation, information technology and corporate costs.</w:t>
      </w:r>
    </w:p>
    <w:p w14:paraId="6691590F" w14:textId="7AC40AA4" w:rsidR="007B16AB" w:rsidRPr="00656566" w:rsidRDefault="007B16AB" w:rsidP="00656566">
      <w:pPr>
        <w:pStyle w:val="EndnoteText"/>
      </w:pPr>
      <w:r w:rsidRPr="00656566">
        <w:t>5. This service standard relates to a component of the department’s service delivery which ensures that land users, Aboriginal and Torres Strait Islander parties and the public can access cultural heritage information to assess the cultural value of areas.</w:t>
      </w:r>
    </w:p>
    <w:p w14:paraId="69575AAD" w14:textId="06DA2845" w:rsidR="007B16AB" w:rsidRPr="00656566" w:rsidRDefault="007B16AB" w:rsidP="00656566">
      <w:pPr>
        <w:pStyle w:val="EndnoteText"/>
      </w:pPr>
      <w:r w:rsidRPr="00656566">
        <w:t>6. This service standard measures the efficiency of the department’s community and personal histories request processes. The cost per service request calculation is based on staffing and report production expenses including a reflection of the complexity of individual personal history requests, and includes operating costs such as telecommunications, accommodation, information technology and direct corporate support costs.</w:t>
      </w:r>
    </w:p>
    <w:p w14:paraId="307407B6" w14:textId="6AE3CE70" w:rsidR="007B16AB" w:rsidRPr="00656566" w:rsidRDefault="007B16AB" w:rsidP="00656566">
      <w:pPr>
        <w:pStyle w:val="EndnoteText"/>
      </w:pPr>
      <w:r w:rsidRPr="00656566">
        <w:t>7. This service standard relates to a component of the department’s service delivery which ensures that Aboriginal and Torres Strait Islander Queenslanders have access to community and personal histories services that enable them to reconnect with their families and traditional country</w:t>
      </w:r>
      <w:r w:rsidR="00471DF0" w:rsidRPr="00656566">
        <w:t>.</w:t>
      </w:r>
    </w:p>
    <w:p w14:paraId="456F1D68" w14:textId="2CD1B787" w:rsidR="007B16AB" w:rsidRPr="00656566" w:rsidRDefault="007B16AB" w:rsidP="00656566">
      <w:pPr>
        <w:pStyle w:val="EndnoteText"/>
      </w:pPr>
      <w:r w:rsidRPr="00656566">
        <w:t xml:space="preserve">8. This service standard measures the department’s efficiency in delivering community participation policy advice and development by monitoring trend data over time in relation to the total cost per hour of community participation policy advice and development delivered. </w:t>
      </w:r>
    </w:p>
    <w:p w14:paraId="067E37BE" w14:textId="7BB5E66D" w:rsidR="008E0A6A" w:rsidRPr="00656566" w:rsidRDefault="007B16AB" w:rsidP="00656566">
      <w:pPr>
        <w:pStyle w:val="EndnoteText"/>
        <w:rPr>
          <w:rFonts w:eastAsia="Calibri"/>
        </w:rPr>
      </w:pPr>
      <w:r w:rsidRPr="00656566">
        <w:t xml:space="preserve">9. The calculation of this figure is based on the department’s </w:t>
      </w:r>
      <w:r w:rsidR="000259D5" w:rsidRPr="00656566">
        <w:t xml:space="preserve">Aboriginal and Torres Strait Islander Partnerships </w:t>
      </w:r>
      <w:r w:rsidRPr="00656566">
        <w:t>Policy Branch costs which include salaries and operating costs such as telecommunications, accommodation and corporate costs related to the provision of routine community participation policy advice and</w:t>
      </w:r>
      <w:r w:rsidR="008B09CB" w:rsidRPr="00656566">
        <w:t xml:space="preserve"> </w:t>
      </w:r>
      <w:r w:rsidRPr="00656566">
        <w:t>policy development.</w:t>
      </w:r>
    </w:p>
    <w:p w14:paraId="52EE36F0" w14:textId="77777777" w:rsidR="00262D6A" w:rsidRDefault="00471DF0" w:rsidP="00A8341C">
      <w:pPr>
        <w:pStyle w:val="Heading2"/>
        <w:spacing w:after="0"/>
      </w:pPr>
      <w:bookmarkStart w:id="29" w:name="_Toc43444837"/>
      <w:r w:rsidRPr="00E4449B">
        <w:br w:type="page"/>
      </w:r>
      <w:bookmarkStart w:id="30" w:name="_Toc78287414"/>
      <w:bookmarkStart w:id="31" w:name="_Toc78355821"/>
      <w:bookmarkStart w:id="32" w:name="_Toc81984391"/>
      <w:r w:rsidR="00E3035F" w:rsidRPr="00E4449B">
        <w:lastRenderedPageBreak/>
        <w:t xml:space="preserve">Appendix </w:t>
      </w:r>
      <w:r w:rsidR="00B4253E" w:rsidRPr="00E4449B">
        <w:t>5</w:t>
      </w:r>
      <w:r w:rsidR="002C5E0F" w:rsidRPr="00E4449B">
        <w:t xml:space="preserve"> - </w:t>
      </w:r>
      <w:r w:rsidR="00B5154C" w:rsidRPr="00E4449B">
        <w:t>Government bodies</w:t>
      </w:r>
      <w:bookmarkEnd w:id="29"/>
      <w:r w:rsidR="00FE3061" w:rsidRPr="00E4449B">
        <w:t xml:space="preserve"> </w:t>
      </w:r>
    </w:p>
    <w:p w14:paraId="26222359" w14:textId="17BE81D6" w:rsidR="00124910" w:rsidRDefault="00124910" w:rsidP="00A8341C">
      <w:pPr>
        <w:pStyle w:val="Heading2"/>
      </w:pPr>
      <w:r w:rsidRPr="00E4449B">
        <w:t>(statutory bodies and other entities)</w:t>
      </w:r>
      <w:bookmarkEnd w:id="30"/>
      <w:bookmarkEnd w:id="31"/>
      <w:bookmarkEnd w:id="32"/>
    </w:p>
    <w:tbl>
      <w:tblPr>
        <w:tblStyle w:val="TableGrid7"/>
        <w:tblW w:w="0" w:type="auto"/>
        <w:tblLook w:val="04A0" w:firstRow="1" w:lastRow="0" w:firstColumn="1" w:lastColumn="0" w:noHBand="0" w:noVBand="1"/>
      </w:tblPr>
      <w:tblGrid>
        <w:gridCol w:w="1944"/>
        <w:gridCol w:w="1476"/>
        <w:gridCol w:w="1944"/>
        <w:gridCol w:w="1488"/>
        <w:gridCol w:w="1485"/>
        <w:gridCol w:w="2123"/>
      </w:tblGrid>
      <w:tr w:rsidR="00124910" w:rsidRPr="002F1114" w14:paraId="7A034FA0" w14:textId="77777777" w:rsidTr="00797BC9">
        <w:tc>
          <w:tcPr>
            <w:tcW w:w="1046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CD5A04" w14:textId="775E5EDC" w:rsidR="00124910" w:rsidRPr="002F1114" w:rsidRDefault="00AD5743" w:rsidP="00656566">
            <w:pPr>
              <w:rPr>
                <w:rFonts w:ascii="Arial" w:hAnsi="Arial"/>
              </w:rPr>
            </w:pPr>
            <w:r w:rsidRPr="002F1114">
              <w:rPr>
                <w:rFonts w:ascii="Arial" w:hAnsi="Arial"/>
              </w:rPr>
              <w:t>FAMILY RESPONSIBILITIES BOARD</w:t>
            </w:r>
          </w:p>
        </w:tc>
      </w:tr>
      <w:tr w:rsidR="00124910" w:rsidRPr="002F1114" w14:paraId="35A07093"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6C1296D9" w14:textId="77777777" w:rsidR="00124910" w:rsidRPr="002F1114" w:rsidRDefault="00124910" w:rsidP="00656566">
            <w:pPr>
              <w:rPr>
                <w:rFonts w:ascii="Arial" w:hAnsi="Arial"/>
              </w:rPr>
            </w:pPr>
            <w:r w:rsidRPr="002F1114">
              <w:rPr>
                <w:rFonts w:ascii="Arial" w:hAnsi="Arial"/>
              </w:rPr>
              <w:t>Act or instrument</w:t>
            </w:r>
          </w:p>
        </w:tc>
        <w:tc>
          <w:tcPr>
            <w:tcW w:w="8516" w:type="dxa"/>
            <w:gridSpan w:val="5"/>
            <w:tcBorders>
              <w:top w:val="single" w:sz="4" w:space="0" w:color="auto"/>
              <w:left w:val="single" w:sz="4" w:space="0" w:color="auto"/>
              <w:bottom w:val="single" w:sz="4" w:space="0" w:color="auto"/>
              <w:right w:val="single" w:sz="4" w:space="0" w:color="auto"/>
            </w:tcBorders>
            <w:hideMark/>
          </w:tcPr>
          <w:p w14:paraId="2031E810" w14:textId="43668034" w:rsidR="00124910" w:rsidRPr="00695BCA" w:rsidRDefault="00AD5743" w:rsidP="00656566">
            <w:pPr>
              <w:rPr>
                <w:rFonts w:ascii="Arial" w:hAnsi="Arial"/>
                <w:i/>
                <w:iCs/>
              </w:rPr>
            </w:pPr>
            <w:r w:rsidRPr="00695BCA">
              <w:rPr>
                <w:rFonts w:ascii="Arial" w:hAnsi="Arial"/>
                <w:i/>
                <w:iCs/>
              </w:rPr>
              <w:t>Family Responsibilities Commission Act 2008</w:t>
            </w:r>
          </w:p>
        </w:tc>
      </w:tr>
      <w:tr w:rsidR="00124910" w:rsidRPr="002F1114" w14:paraId="771EDB68"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670B8B2C" w14:textId="77777777" w:rsidR="00124910" w:rsidRPr="002F1114" w:rsidRDefault="00124910" w:rsidP="00656566">
            <w:pPr>
              <w:rPr>
                <w:rFonts w:ascii="Arial" w:hAnsi="Arial"/>
              </w:rPr>
            </w:pPr>
            <w:r w:rsidRPr="002F1114">
              <w:rPr>
                <w:rFonts w:ascii="Arial" w:hAnsi="Arial"/>
              </w:rPr>
              <w:t>Functions</w:t>
            </w:r>
          </w:p>
        </w:tc>
        <w:tc>
          <w:tcPr>
            <w:tcW w:w="8516" w:type="dxa"/>
            <w:gridSpan w:val="5"/>
            <w:tcBorders>
              <w:top w:val="single" w:sz="4" w:space="0" w:color="auto"/>
              <w:left w:val="single" w:sz="4" w:space="0" w:color="auto"/>
              <w:bottom w:val="single" w:sz="4" w:space="0" w:color="auto"/>
              <w:right w:val="single" w:sz="4" w:space="0" w:color="auto"/>
            </w:tcBorders>
            <w:hideMark/>
          </w:tcPr>
          <w:p w14:paraId="40E6F3AC" w14:textId="5805D5CB" w:rsidR="00124910" w:rsidRPr="002F1114" w:rsidRDefault="00AD5743" w:rsidP="00656566">
            <w:pPr>
              <w:rPr>
                <w:rFonts w:ascii="Arial" w:hAnsi="Arial"/>
              </w:rPr>
            </w:pPr>
            <w:r w:rsidRPr="002F1114">
              <w:rPr>
                <w:rFonts w:ascii="Arial" w:hAnsi="Arial"/>
              </w:rPr>
              <w:t xml:space="preserve">The purpose of the Family Responsibilities Board is to give advice and make recommendations to the Minister for </w:t>
            </w:r>
            <w:r w:rsidR="003341B7" w:rsidRPr="002F1114">
              <w:rPr>
                <w:rFonts w:ascii="Arial" w:hAnsi="Arial"/>
              </w:rPr>
              <w:t xml:space="preserve">Seniors, Disability Services and </w:t>
            </w:r>
            <w:r w:rsidRPr="002F1114">
              <w:rPr>
                <w:rFonts w:ascii="Arial" w:hAnsi="Arial"/>
              </w:rPr>
              <w:t>Aboriginal and Torres Strait Islander Partnerships about the operation of the Family Responsibilities Commission.</w:t>
            </w:r>
          </w:p>
        </w:tc>
      </w:tr>
      <w:tr w:rsidR="00124910" w:rsidRPr="002F1114" w14:paraId="4F86A7ED"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75D42162" w14:textId="77777777" w:rsidR="00124910" w:rsidRPr="002F1114" w:rsidRDefault="00124910" w:rsidP="00656566">
            <w:pPr>
              <w:rPr>
                <w:rFonts w:ascii="Arial" w:hAnsi="Arial"/>
              </w:rPr>
            </w:pPr>
            <w:r w:rsidRPr="002F1114">
              <w:rPr>
                <w:rFonts w:ascii="Arial" w:hAnsi="Arial"/>
              </w:rPr>
              <w:t>Achievements</w:t>
            </w:r>
          </w:p>
        </w:tc>
        <w:tc>
          <w:tcPr>
            <w:tcW w:w="8516" w:type="dxa"/>
            <w:gridSpan w:val="5"/>
            <w:tcBorders>
              <w:top w:val="single" w:sz="4" w:space="0" w:color="auto"/>
              <w:left w:val="single" w:sz="4" w:space="0" w:color="auto"/>
              <w:bottom w:val="single" w:sz="4" w:space="0" w:color="auto"/>
              <w:right w:val="single" w:sz="4" w:space="0" w:color="auto"/>
            </w:tcBorders>
            <w:hideMark/>
          </w:tcPr>
          <w:p w14:paraId="6611AF80" w14:textId="55CD0829" w:rsidR="00124910" w:rsidRPr="002F1114" w:rsidRDefault="003341B7" w:rsidP="00656566">
            <w:pPr>
              <w:rPr>
                <w:rFonts w:ascii="Arial" w:hAnsi="Arial"/>
              </w:rPr>
            </w:pPr>
            <w:r w:rsidRPr="002F1114">
              <w:rPr>
                <w:rFonts w:ascii="Arial" w:hAnsi="Arial"/>
              </w:rPr>
              <w:t xml:space="preserve">Recommended to the Minister the reappointment of an Aboriginal Commissioner to the Family Responsibilities Commission; supported the Family Responsibilities Commission to respond to local issues; and continued to provide oversight for a legislative review of the </w:t>
            </w:r>
            <w:r w:rsidRPr="00695BCA">
              <w:rPr>
                <w:rFonts w:ascii="Arial" w:hAnsi="Arial"/>
                <w:i/>
                <w:iCs/>
              </w:rPr>
              <w:t>Family Responsibilities Commission Act 2008.</w:t>
            </w:r>
          </w:p>
        </w:tc>
      </w:tr>
      <w:tr w:rsidR="00124910" w:rsidRPr="002F1114" w14:paraId="53F3DE70"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7BE5148C" w14:textId="77777777" w:rsidR="00124910" w:rsidRPr="002F1114" w:rsidRDefault="00124910" w:rsidP="00656566">
            <w:pPr>
              <w:rPr>
                <w:rFonts w:ascii="Arial" w:hAnsi="Arial"/>
              </w:rPr>
            </w:pPr>
            <w:r w:rsidRPr="002F1114">
              <w:rPr>
                <w:rFonts w:ascii="Arial" w:hAnsi="Arial"/>
              </w:rPr>
              <w:t>Financial reporting</w:t>
            </w:r>
          </w:p>
        </w:tc>
        <w:tc>
          <w:tcPr>
            <w:tcW w:w="8516" w:type="dxa"/>
            <w:gridSpan w:val="5"/>
            <w:tcBorders>
              <w:top w:val="single" w:sz="4" w:space="0" w:color="auto"/>
              <w:left w:val="single" w:sz="4" w:space="0" w:color="auto"/>
              <w:bottom w:val="single" w:sz="4" w:space="0" w:color="auto"/>
              <w:right w:val="single" w:sz="4" w:space="0" w:color="auto"/>
            </w:tcBorders>
            <w:hideMark/>
          </w:tcPr>
          <w:p w14:paraId="1E523CD1" w14:textId="23860D3E" w:rsidR="00124910" w:rsidRPr="002F1114" w:rsidRDefault="003341B7" w:rsidP="00656566">
            <w:pPr>
              <w:rPr>
                <w:rFonts w:ascii="Arial" w:hAnsi="Arial"/>
              </w:rPr>
            </w:pPr>
            <w:r w:rsidRPr="002F1114">
              <w:rPr>
                <w:rFonts w:ascii="Arial" w:hAnsi="Arial"/>
              </w:rPr>
              <w:t>Not applicable</w:t>
            </w:r>
          </w:p>
        </w:tc>
      </w:tr>
      <w:tr w:rsidR="00124910" w:rsidRPr="002F1114" w14:paraId="7491FAB8" w14:textId="77777777" w:rsidTr="00797BC9">
        <w:tc>
          <w:tcPr>
            <w:tcW w:w="10460" w:type="dxa"/>
            <w:gridSpan w:val="6"/>
            <w:tcBorders>
              <w:top w:val="single" w:sz="4" w:space="0" w:color="auto"/>
              <w:left w:val="single" w:sz="4" w:space="0" w:color="auto"/>
              <w:bottom w:val="single" w:sz="4" w:space="0" w:color="auto"/>
              <w:right w:val="single" w:sz="4" w:space="0" w:color="auto"/>
            </w:tcBorders>
            <w:hideMark/>
          </w:tcPr>
          <w:p w14:paraId="4DA95796" w14:textId="2D8C0509" w:rsidR="00124910" w:rsidRPr="002F1114" w:rsidRDefault="00124910" w:rsidP="00656566">
            <w:pPr>
              <w:rPr>
                <w:rFonts w:ascii="Arial" w:hAnsi="Arial"/>
              </w:rPr>
            </w:pPr>
            <w:r w:rsidRPr="002F1114">
              <w:rPr>
                <w:rFonts w:ascii="Arial" w:hAnsi="Arial"/>
              </w:rPr>
              <w:t xml:space="preserve">Remuneration </w:t>
            </w:r>
          </w:p>
        </w:tc>
      </w:tr>
      <w:tr w:rsidR="00124910" w:rsidRPr="002F1114" w14:paraId="5C5F3C80"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1F4C4DE5" w14:textId="77777777" w:rsidR="00124910" w:rsidRPr="002F1114" w:rsidRDefault="00124910" w:rsidP="00656566">
            <w:pPr>
              <w:rPr>
                <w:rFonts w:ascii="Arial" w:hAnsi="Arial"/>
              </w:rPr>
            </w:pPr>
            <w:r w:rsidRPr="002F1114">
              <w:rPr>
                <w:rFonts w:ascii="Arial" w:hAnsi="Arial"/>
              </w:rPr>
              <w:t>Position</w:t>
            </w:r>
          </w:p>
        </w:tc>
        <w:tc>
          <w:tcPr>
            <w:tcW w:w="1476" w:type="dxa"/>
            <w:tcBorders>
              <w:top w:val="single" w:sz="4" w:space="0" w:color="auto"/>
              <w:left w:val="single" w:sz="4" w:space="0" w:color="auto"/>
              <w:bottom w:val="single" w:sz="4" w:space="0" w:color="auto"/>
              <w:right w:val="single" w:sz="4" w:space="0" w:color="auto"/>
            </w:tcBorders>
            <w:hideMark/>
          </w:tcPr>
          <w:p w14:paraId="4D551724" w14:textId="77777777" w:rsidR="00124910" w:rsidRPr="002F1114" w:rsidRDefault="00124910" w:rsidP="00656566">
            <w:pPr>
              <w:rPr>
                <w:rFonts w:ascii="Arial" w:hAnsi="Arial"/>
              </w:rPr>
            </w:pPr>
            <w:r w:rsidRPr="002F1114">
              <w:rPr>
                <w:rFonts w:ascii="Arial" w:hAnsi="Arial"/>
              </w:rPr>
              <w:t>Name</w:t>
            </w:r>
          </w:p>
        </w:tc>
        <w:tc>
          <w:tcPr>
            <w:tcW w:w="1944" w:type="dxa"/>
            <w:tcBorders>
              <w:top w:val="single" w:sz="4" w:space="0" w:color="auto"/>
              <w:left w:val="single" w:sz="4" w:space="0" w:color="auto"/>
              <w:bottom w:val="single" w:sz="4" w:space="0" w:color="auto"/>
              <w:right w:val="single" w:sz="4" w:space="0" w:color="auto"/>
            </w:tcBorders>
            <w:hideMark/>
          </w:tcPr>
          <w:p w14:paraId="5465AED2" w14:textId="77777777" w:rsidR="00124910" w:rsidRPr="002F1114" w:rsidRDefault="00124910" w:rsidP="00656566">
            <w:pPr>
              <w:rPr>
                <w:rFonts w:ascii="Arial" w:hAnsi="Arial"/>
              </w:rPr>
            </w:pPr>
            <w:r w:rsidRPr="002F1114">
              <w:rPr>
                <w:rFonts w:ascii="Arial" w:hAnsi="Arial"/>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5BF099F6" w14:textId="77777777" w:rsidR="00124910" w:rsidRPr="002F1114" w:rsidRDefault="00124910" w:rsidP="00656566">
            <w:pPr>
              <w:rPr>
                <w:rFonts w:ascii="Arial" w:hAnsi="Arial"/>
              </w:rPr>
            </w:pPr>
            <w:r w:rsidRPr="002F1114">
              <w:rPr>
                <w:rFonts w:ascii="Arial" w:hAnsi="Arial"/>
              </w:rPr>
              <w:t xml:space="preserve">Approved annual, sessional or daily fee </w:t>
            </w:r>
          </w:p>
        </w:tc>
        <w:tc>
          <w:tcPr>
            <w:tcW w:w="1485" w:type="dxa"/>
            <w:tcBorders>
              <w:top w:val="single" w:sz="4" w:space="0" w:color="auto"/>
              <w:left w:val="single" w:sz="4" w:space="0" w:color="auto"/>
              <w:bottom w:val="single" w:sz="4" w:space="0" w:color="auto"/>
              <w:right w:val="single" w:sz="4" w:space="0" w:color="auto"/>
            </w:tcBorders>
            <w:hideMark/>
          </w:tcPr>
          <w:p w14:paraId="384F4CE2" w14:textId="77777777" w:rsidR="00124910" w:rsidRPr="002F1114" w:rsidRDefault="00124910" w:rsidP="00656566">
            <w:pPr>
              <w:rPr>
                <w:rFonts w:ascii="Arial" w:hAnsi="Arial"/>
              </w:rPr>
            </w:pPr>
            <w:r w:rsidRPr="002F1114">
              <w:rPr>
                <w:rFonts w:ascii="Arial" w:hAnsi="Arial"/>
              </w:rPr>
              <w:t>Approved sub-committee fees if applicable</w:t>
            </w:r>
          </w:p>
        </w:tc>
        <w:tc>
          <w:tcPr>
            <w:tcW w:w="2123" w:type="dxa"/>
            <w:tcBorders>
              <w:top w:val="single" w:sz="4" w:space="0" w:color="auto"/>
              <w:left w:val="single" w:sz="4" w:space="0" w:color="auto"/>
              <w:bottom w:val="single" w:sz="4" w:space="0" w:color="auto"/>
              <w:right w:val="single" w:sz="4" w:space="0" w:color="auto"/>
            </w:tcBorders>
            <w:hideMark/>
          </w:tcPr>
          <w:p w14:paraId="55453DC3" w14:textId="77777777" w:rsidR="00124910" w:rsidRPr="002F1114" w:rsidRDefault="00124910" w:rsidP="00656566">
            <w:pPr>
              <w:rPr>
                <w:rFonts w:ascii="Arial" w:hAnsi="Arial"/>
              </w:rPr>
            </w:pPr>
            <w:r w:rsidRPr="002F1114">
              <w:rPr>
                <w:rFonts w:ascii="Arial" w:hAnsi="Arial"/>
              </w:rPr>
              <w:t xml:space="preserve">Actual fees received </w:t>
            </w:r>
          </w:p>
        </w:tc>
      </w:tr>
      <w:tr w:rsidR="00AD5743" w:rsidRPr="002F1114" w14:paraId="3FD732D5" w14:textId="77777777" w:rsidTr="00797BC9">
        <w:tc>
          <w:tcPr>
            <w:tcW w:w="1944" w:type="dxa"/>
            <w:tcBorders>
              <w:top w:val="single" w:sz="4" w:space="0" w:color="auto"/>
              <w:left w:val="single" w:sz="4" w:space="0" w:color="auto"/>
              <w:bottom w:val="single" w:sz="4" w:space="0" w:color="auto"/>
              <w:right w:val="single" w:sz="4" w:space="0" w:color="auto"/>
            </w:tcBorders>
          </w:tcPr>
          <w:p w14:paraId="4CA0F276" w14:textId="67BAE5F4" w:rsidR="00AD5743" w:rsidRPr="002F1114" w:rsidRDefault="00AD5743" w:rsidP="00656566">
            <w:pPr>
              <w:rPr>
                <w:rFonts w:ascii="Arial" w:hAnsi="Arial"/>
              </w:rPr>
            </w:pPr>
            <w:r w:rsidRPr="002F1114">
              <w:rPr>
                <w:rFonts w:ascii="Arial" w:hAnsi="Arial"/>
              </w:rPr>
              <w:t>Chair</w:t>
            </w:r>
            <w:r w:rsidR="003341B7" w:rsidRPr="002F1114">
              <w:rPr>
                <w:rFonts w:ascii="Arial" w:hAnsi="Arial"/>
              </w:rPr>
              <w:t>person</w:t>
            </w:r>
          </w:p>
        </w:tc>
        <w:tc>
          <w:tcPr>
            <w:tcW w:w="1476" w:type="dxa"/>
            <w:tcBorders>
              <w:top w:val="single" w:sz="4" w:space="0" w:color="auto"/>
              <w:left w:val="single" w:sz="4" w:space="0" w:color="auto"/>
              <w:bottom w:val="single" w:sz="4" w:space="0" w:color="auto"/>
              <w:right w:val="single" w:sz="4" w:space="0" w:color="E6E7E8"/>
            </w:tcBorders>
          </w:tcPr>
          <w:p w14:paraId="55826B4A" w14:textId="64A15213" w:rsidR="00AD5743" w:rsidRPr="002F1114" w:rsidRDefault="00AD5743" w:rsidP="00656566">
            <w:pPr>
              <w:rPr>
                <w:rFonts w:ascii="Arial" w:hAnsi="Arial"/>
              </w:rPr>
            </w:pPr>
            <w:r w:rsidRPr="002F1114">
              <w:rPr>
                <w:rFonts w:ascii="Arial" w:hAnsi="Arial"/>
              </w:rPr>
              <w:t>Dr Chris Sarra</w:t>
            </w:r>
          </w:p>
        </w:tc>
        <w:tc>
          <w:tcPr>
            <w:tcW w:w="1944" w:type="dxa"/>
            <w:tcBorders>
              <w:top w:val="single" w:sz="4" w:space="0" w:color="auto"/>
              <w:left w:val="single" w:sz="4" w:space="0" w:color="auto"/>
              <w:bottom w:val="single" w:sz="4" w:space="0" w:color="auto"/>
              <w:right w:val="single" w:sz="4" w:space="0" w:color="auto"/>
            </w:tcBorders>
            <w:hideMark/>
          </w:tcPr>
          <w:p w14:paraId="075AC83C" w14:textId="1E7D173B" w:rsidR="00AD5743" w:rsidRPr="002F1114" w:rsidRDefault="003341B7" w:rsidP="00656566">
            <w:pPr>
              <w:rPr>
                <w:rFonts w:ascii="Arial" w:hAnsi="Arial"/>
              </w:rPr>
            </w:pPr>
            <w:r w:rsidRPr="002F1114">
              <w:rPr>
                <w:rFonts w:ascii="Arial" w:hAnsi="Arial"/>
              </w:rPr>
              <w:t>1</w:t>
            </w:r>
          </w:p>
        </w:tc>
        <w:tc>
          <w:tcPr>
            <w:tcW w:w="1488" w:type="dxa"/>
            <w:tcBorders>
              <w:top w:val="single" w:sz="4" w:space="0" w:color="auto"/>
              <w:left w:val="single" w:sz="4" w:space="0" w:color="auto"/>
              <w:bottom w:val="single" w:sz="4" w:space="0" w:color="auto"/>
              <w:right w:val="single" w:sz="4" w:space="0" w:color="auto"/>
            </w:tcBorders>
            <w:hideMark/>
          </w:tcPr>
          <w:p w14:paraId="40C04AD0" w14:textId="2230EB0E" w:rsidR="00AD5743" w:rsidRPr="002F1114" w:rsidRDefault="00904B93" w:rsidP="00656566">
            <w:pPr>
              <w:rPr>
                <w:rFonts w:ascii="Arial" w:hAnsi="Arial"/>
              </w:rPr>
            </w:pPr>
            <w:r w:rsidRPr="002F1114">
              <w:rPr>
                <w:rFonts w:ascii="Arial" w:hAnsi="Arial"/>
              </w:rPr>
              <w:t>Nil remuneration</w:t>
            </w:r>
          </w:p>
        </w:tc>
        <w:tc>
          <w:tcPr>
            <w:tcW w:w="1485" w:type="dxa"/>
            <w:tcBorders>
              <w:top w:val="single" w:sz="4" w:space="0" w:color="auto"/>
              <w:left w:val="single" w:sz="4" w:space="0" w:color="auto"/>
              <w:bottom w:val="single" w:sz="4" w:space="0" w:color="auto"/>
              <w:right w:val="single" w:sz="4" w:space="0" w:color="auto"/>
            </w:tcBorders>
          </w:tcPr>
          <w:p w14:paraId="2C02DD10" w14:textId="2B637A6E" w:rsidR="00AD5743" w:rsidRPr="002F1114" w:rsidRDefault="00904B93" w:rsidP="00656566">
            <w:pPr>
              <w:rPr>
                <w:rFonts w:ascii="Arial" w:hAnsi="Arial"/>
              </w:rPr>
            </w:pPr>
            <w:r w:rsidRPr="002F1114">
              <w:rPr>
                <w:rFonts w:ascii="Arial" w:hAnsi="Arial"/>
              </w:rPr>
              <w:t>N/A</w:t>
            </w:r>
          </w:p>
        </w:tc>
        <w:tc>
          <w:tcPr>
            <w:tcW w:w="2123" w:type="dxa"/>
            <w:tcBorders>
              <w:top w:val="single" w:sz="4" w:space="0" w:color="auto"/>
              <w:left w:val="single" w:sz="4" w:space="0" w:color="auto"/>
              <w:bottom w:val="single" w:sz="4" w:space="0" w:color="auto"/>
              <w:right w:val="single" w:sz="4" w:space="0" w:color="auto"/>
            </w:tcBorders>
          </w:tcPr>
          <w:p w14:paraId="04E77DF1" w14:textId="74DE8571" w:rsidR="00AD5743" w:rsidRPr="002F1114" w:rsidRDefault="00904B93" w:rsidP="00656566">
            <w:pPr>
              <w:rPr>
                <w:rFonts w:ascii="Arial" w:hAnsi="Arial"/>
              </w:rPr>
            </w:pPr>
            <w:r w:rsidRPr="002F1114">
              <w:rPr>
                <w:rFonts w:ascii="Arial" w:hAnsi="Arial"/>
              </w:rPr>
              <w:t>Nil</w:t>
            </w:r>
          </w:p>
        </w:tc>
      </w:tr>
      <w:tr w:rsidR="00904B93" w:rsidRPr="002F1114" w14:paraId="7F90C841" w14:textId="77777777" w:rsidTr="00797BC9">
        <w:tc>
          <w:tcPr>
            <w:tcW w:w="1944" w:type="dxa"/>
            <w:tcBorders>
              <w:top w:val="single" w:sz="4" w:space="0" w:color="auto"/>
              <w:left w:val="single" w:sz="4" w:space="0" w:color="auto"/>
              <w:bottom w:val="single" w:sz="4" w:space="0" w:color="auto"/>
              <w:right w:val="single" w:sz="4" w:space="0" w:color="auto"/>
            </w:tcBorders>
          </w:tcPr>
          <w:p w14:paraId="3F86475A" w14:textId="1BD67E9E" w:rsidR="00904B93" w:rsidRPr="002F1114" w:rsidRDefault="00904B93" w:rsidP="00656566">
            <w:pPr>
              <w:rPr>
                <w:rFonts w:ascii="Arial" w:hAnsi="Arial"/>
              </w:rPr>
            </w:pPr>
            <w:r w:rsidRPr="002F1114">
              <w:rPr>
                <w:rFonts w:ascii="Arial" w:hAnsi="Arial"/>
              </w:rPr>
              <w:t>Member</w:t>
            </w:r>
          </w:p>
        </w:tc>
        <w:tc>
          <w:tcPr>
            <w:tcW w:w="1476" w:type="dxa"/>
            <w:tcBorders>
              <w:top w:val="single" w:sz="4" w:space="0" w:color="auto"/>
              <w:left w:val="single" w:sz="4" w:space="0" w:color="auto"/>
              <w:bottom w:val="single" w:sz="4" w:space="0" w:color="auto"/>
              <w:right w:val="single" w:sz="4" w:space="0" w:color="E6E7E8"/>
            </w:tcBorders>
          </w:tcPr>
          <w:p w14:paraId="1D6C279B" w14:textId="10AF0C20" w:rsidR="00904B93" w:rsidRPr="002F1114" w:rsidRDefault="003341B7" w:rsidP="00656566">
            <w:pPr>
              <w:rPr>
                <w:rFonts w:ascii="Arial" w:hAnsi="Arial"/>
              </w:rPr>
            </w:pPr>
            <w:r w:rsidRPr="002F1114">
              <w:rPr>
                <w:rFonts w:ascii="Arial" w:hAnsi="Arial"/>
              </w:rPr>
              <w:t xml:space="preserve">Mr </w:t>
            </w:r>
            <w:r w:rsidR="00904B93" w:rsidRPr="002F1114">
              <w:rPr>
                <w:rFonts w:ascii="Arial" w:hAnsi="Arial"/>
              </w:rPr>
              <w:t>Raymond Griggs</w:t>
            </w:r>
          </w:p>
        </w:tc>
        <w:tc>
          <w:tcPr>
            <w:tcW w:w="1944" w:type="dxa"/>
            <w:tcBorders>
              <w:top w:val="single" w:sz="4" w:space="0" w:color="auto"/>
              <w:left w:val="single" w:sz="4" w:space="0" w:color="auto"/>
              <w:bottom w:val="single" w:sz="4" w:space="0" w:color="auto"/>
              <w:right w:val="single" w:sz="4" w:space="0" w:color="auto"/>
            </w:tcBorders>
          </w:tcPr>
          <w:p w14:paraId="59382BF7" w14:textId="7542D942" w:rsidR="00904B93" w:rsidRPr="002F1114" w:rsidRDefault="003341B7" w:rsidP="00656566">
            <w:pPr>
              <w:rPr>
                <w:rFonts w:ascii="Arial" w:hAnsi="Arial"/>
              </w:rPr>
            </w:pPr>
            <w:r w:rsidRPr="002F1114">
              <w:rPr>
                <w:rFonts w:ascii="Arial" w:hAnsi="Arial"/>
              </w:rPr>
              <w:t>1</w:t>
            </w:r>
            <w:r w:rsidR="00904B93" w:rsidRPr="002F1114">
              <w:rPr>
                <w:rFonts w:ascii="Arial" w:hAnsi="Arial"/>
              </w:rPr>
              <w:t xml:space="preserve"> </w:t>
            </w:r>
          </w:p>
        </w:tc>
        <w:tc>
          <w:tcPr>
            <w:tcW w:w="1488" w:type="dxa"/>
            <w:tcBorders>
              <w:top w:val="single" w:sz="4" w:space="0" w:color="auto"/>
              <w:left w:val="single" w:sz="4" w:space="0" w:color="E6E7E8"/>
              <w:bottom w:val="single" w:sz="4" w:space="0" w:color="auto"/>
              <w:right w:val="single" w:sz="4" w:space="0" w:color="auto"/>
            </w:tcBorders>
          </w:tcPr>
          <w:p w14:paraId="5AFB8795" w14:textId="3DB897DB" w:rsidR="00904B93" w:rsidRPr="002F1114" w:rsidRDefault="00904B93" w:rsidP="00656566">
            <w:pPr>
              <w:rPr>
                <w:rFonts w:ascii="Arial" w:hAnsi="Arial"/>
              </w:rPr>
            </w:pPr>
            <w:r w:rsidRPr="002F1114">
              <w:rPr>
                <w:rFonts w:ascii="Arial" w:hAnsi="Arial"/>
              </w:rPr>
              <w:t>No remuneration</w:t>
            </w:r>
          </w:p>
        </w:tc>
        <w:tc>
          <w:tcPr>
            <w:tcW w:w="1485" w:type="dxa"/>
            <w:tcBorders>
              <w:top w:val="single" w:sz="4" w:space="0" w:color="auto"/>
              <w:left w:val="single" w:sz="4" w:space="0" w:color="auto"/>
              <w:bottom w:val="single" w:sz="4" w:space="0" w:color="auto"/>
              <w:right w:val="single" w:sz="4" w:space="0" w:color="auto"/>
            </w:tcBorders>
          </w:tcPr>
          <w:p w14:paraId="7E8D4BB2" w14:textId="6DA674A3" w:rsidR="00904B93" w:rsidRPr="002F1114" w:rsidRDefault="00904B93" w:rsidP="00656566">
            <w:pPr>
              <w:rPr>
                <w:rFonts w:ascii="Arial" w:hAnsi="Arial"/>
              </w:rPr>
            </w:pPr>
            <w:r w:rsidRPr="002F1114">
              <w:rPr>
                <w:rFonts w:ascii="Arial" w:hAnsi="Arial"/>
              </w:rPr>
              <w:t>N/A</w:t>
            </w:r>
          </w:p>
        </w:tc>
        <w:tc>
          <w:tcPr>
            <w:tcW w:w="2123" w:type="dxa"/>
            <w:tcBorders>
              <w:top w:val="single" w:sz="4" w:space="0" w:color="auto"/>
              <w:left w:val="single" w:sz="4" w:space="0" w:color="auto"/>
              <w:bottom w:val="single" w:sz="4" w:space="0" w:color="auto"/>
              <w:right w:val="single" w:sz="4" w:space="0" w:color="auto"/>
            </w:tcBorders>
          </w:tcPr>
          <w:p w14:paraId="0D9DF370" w14:textId="25D58761" w:rsidR="00904B93" w:rsidRPr="002F1114" w:rsidRDefault="00904B93" w:rsidP="00656566">
            <w:pPr>
              <w:rPr>
                <w:rFonts w:ascii="Arial" w:hAnsi="Arial"/>
              </w:rPr>
            </w:pPr>
            <w:r w:rsidRPr="002F1114">
              <w:rPr>
                <w:rFonts w:ascii="Arial" w:hAnsi="Arial"/>
              </w:rPr>
              <w:t>Nil</w:t>
            </w:r>
          </w:p>
        </w:tc>
      </w:tr>
      <w:tr w:rsidR="00904B93" w:rsidRPr="002F1114" w14:paraId="7E1F405C" w14:textId="77777777" w:rsidTr="00797BC9">
        <w:tc>
          <w:tcPr>
            <w:tcW w:w="1944" w:type="dxa"/>
            <w:tcBorders>
              <w:top w:val="single" w:sz="4" w:space="0" w:color="auto"/>
              <w:left w:val="single" w:sz="4" w:space="0" w:color="auto"/>
              <w:bottom w:val="single" w:sz="4" w:space="0" w:color="auto"/>
              <w:right w:val="single" w:sz="4" w:space="0" w:color="auto"/>
            </w:tcBorders>
          </w:tcPr>
          <w:p w14:paraId="3DC5FCA1" w14:textId="17F71B53" w:rsidR="00904B93" w:rsidRPr="002F1114" w:rsidRDefault="00904B93" w:rsidP="00656566">
            <w:pPr>
              <w:rPr>
                <w:rFonts w:ascii="Arial" w:hAnsi="Arial"/>
              </w:rPr>
            </w:pPr>
            <w:r w:rsidRPr="002F1114">
              <w:rPr>
                <w:rFonts w:ascii="Arial" w:hAnsi="Arial"/>
              </w:rPr>
              <w:t>Member</w:t>
            </w:r>
          </w:p>
        </w:tc>
        <w:tc>
          <w:tcPr>
            <w:tcW w:w="1476" w:type="dxa"/>
            <w:tcBorders>
              <w:top w:val="single" w:sz="4" w:space="0" w:color="auto"/>
              <w:left w:val="single" w:sz="4" w:space="0" w:color="auto"/>
              <w:bottom w:val="single" w:sz="4" w:space="0" w:color="auto"/>
              <w:right w:val="single" w:sz="4" w:space="0" w:color="E6E7E8"/>
            </w:tcBorders>
          </w:tcPr>
          <w:p w14:paraId="6F7991DD" w14:textId="6FC1B5F3" w:rsidR="00904B93" w:rsidRPr="002F1114" w:rsidRDefault="003341B7" w:rsidP="00656566">
            <w:pPr>
              <w:rPr>
                <w:rFonts w:ascii="Arial" w:hAnsi="Arial"/>
              </w:rPr>
            </w:pPr>
            <w:r w:rsidRPr="002F1114">
              <w:rPr>
                <w:rFonts w:ascii="Arial" w:hAnsi="Arial"/>
              </w:rPr>
              <w:t xml:space="preserve">Mr </w:t>
            </w:r>
            <w:r w:rsidR="00904B93" w:rsidRPr="002F1114">
              <w:rPr>
                <w:rFonts w:ascii="Arial" w:hAnsi="Arial"/>
              </w:rPr>
              <w:t>Noel Pearson</w:t>
            </w:r>
          </w:p>
        </w:tc>
        <w:tc>
          <w:tcPr>
            <w:tcW w:w="1944" w:type="dxa"/>
            <w:tcBorders>
              <w:top w:val="single" w:sz="4" w:space="0" w:color="auto"/>
              <w:left w:val="single" w:sz="4" w:space="0" w:color="auto"/>
              <w:bottom w:val="single" w:sz="4" w:space="0" w:color="auto"/>
              <w:right w:val="single" w:sz="4" w:space="0" w:color="auto"/>
            </w:tcBorders>
            <w:hideMark/>
          </w:tcPr>
          <w:p w14:paraId="25DDC246" w14:textId="1BBB1FB6" w:rsidR="00904B93" w:rsidRPr="002F1114" w:rsidRDefault="003341B7" w:rsidP="00656566">
            <w:pPr>
              <w:rPr>
                <w:rFonts w:ascii="Arial" w:hAnsi="Arial"/>
              </w:rPr>
            </w:pPr>
            <w:r w:rsidRPr="002F1114">
              <w:rPr>
                <w:rFonts w:ascii="Arial" w:hAnsi="Arial"/>
              </w:rPr>
              <w:t>1</w:t>
            </w:r>
          </w:p>
        </w:tc>
        <w:tc>
          <w:tcPr>
            <w:tcW w:w="1488" w:type="dxa"/>
            <w:tcBorders>
              <w:top w:val="single" w:sz="4" w:space="0" w:color="auto"/>
              <w:left w:val="single" w:sz="4" w:space="0" w:color="E6E7E8"/>
              <w:bottom w:val="single" w:sz="4" w:space="0" w:color="auto"/>
              <w:right w:val="single" w:sz="4" w:space="0" w:color="auto"/>
            </w:tcBorders>
          </w:tcPr>
          <w:p w14:paraId="4772BBFD" w14:textId="0BB758F3" w:rsidR="00904B93" w:rsidRPr="002F1114" w:rsidRDefault="00904B93" w:rsidP="00656566">
            <w:pPr>
              <w:rPr>
                <w:rFonts w:ascii="Arial" w:hAnsi="Arial"/>
              </w:rPr>
            </w:pPr>
            <w:r w:rsidRPr="002F1114">
              <w:rPr>
                <w:rFonts w:ascii="Arial" w:hAnsi="Arial"/>
              </w:rPr>
              <w:t>No remuneration</w:t>
            </w:r>
          </w:p>
        </w:tc>
        <w:tc>
          <w:tcPr>
            <w:tcW w:w="1485" w:type="dxa"/>
            <w:tcBorders>
              <w:top w:val="single" w:sz="4" w:space="0" w:color="auto"/>
              <w:left w:val="single" w:sz="4" w:space="0" w:color="auto"/>
              <w:bottom w:val="single" w:sz="4" w:space="0" w:color="auto"/>
              <w:right w:val="single" w:sz="4" w:space="0" w:color="auto"/>
            </w:tcBorders>
          </w:tcPr>
          <w:p w14:paraId="17A2BA78" w14:textId="13DC2B69" w:rsidR="00904B93" w:rsidRPr="002F1114" w:rsidRDefault="00904B93" w:rsidP="00656566">
            <w:pPr>
              <w:rPr>
                <w:rFonts w:ascii="Arial" w:hAnsi="Arial"/>
              </w:rPr>
            </w:pPr>
            <w:r w:rsidRPr="002F1114">
              <w:rPr>
                <w:rFonts w:ascii="Arial" w:hAnsi="Arial"/>
              </w:rPr>
              <w:t>N/A</w:t>
            </w:r>
          </w:p>
        </w:tc>
        <w:tc>
          <w:tcPr>
            <w:tcW w:w="2123" w:type="dxa"/>
            <w:tcBorders>
              <w:top w:val="single" w:sz="4" w:space="0" w:color="auto"/>
              <w:left w:val="single" w:sz="4" w:space="0" w:color="auto"/>
              <w:bottom w:val="single" w:sz="4" w:space="0" w:color="auto"/>
              <w:right w:val="single" w:sz="4" w:space="0" w:color="auto"/>
            </w:tcBorders>
          </w:tcPr>
          <w:p w14:paraId="58D8541A" w14:textId="007A196A" w:rsidR="00904B93" w:rsidRPr="002F1114" w:rsidRDefault="00904B93" w:rsidP="00656566">
            <w:pPr>
              <w:rPr>
                <w:rFonts w:ascii="Arial" w:hAnsi="Arial"/>
              </w:rPr>
            </w:pPr>
            <w:r w:rsidRPr="002F1114">
              <w:rPr>
                <w:rFonts w:ascii="Arial" w:hAnsi="Arial"/>
              </w:rPr>
              <w:t>Nil</w:t>
            </w:r>
          </w:p>
        </w:tc>
      </w:tr>
      <w:tr w:rsidR="00904B93" w:rsidRPr="002F1114" w14:paraId="19E83BFE"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0FF4FE3D" w14:textId="77777777" w:rsidR="00904B93" w:rsidRPr="002F1114" w:rsidRDefault="00904B93" w:rsidP="00656566">
            <w:pPr>
              <w:rPr>
                <w:rFonts w:ascii="Arial" w:hAnsi="Arial"/>
              </w:rPr>
            </w:pPr>
            <w:r w:rsidRPr="002F1114">
              <w:rPr>
                <w:rFonts w:ascii="Arial" w:hAnsi="Arial"/>
              </w:rPr>
              <w:t>No. scheduled meetings/sessions</w:t>
            </w:r>
          </w:p>
        </w:tc>
        <w:tc>
          <w:tcPr>
            <w:tcW w:w="8516" w:type="dxa"/>
            <w:gridSpan w:val="5"/>
            <w:tcBorders>
              <w:top w:val="single" w:sz="4" w:space="0" w:color="auto"/>
              <w:left w:val="single" w:sz="4" w:space="0" w:color="auto"/>
              <w:bottom w:val="single" w:sz="4" w:space="0" w:color="auto"/>
              <w:right w:val="single" w:sz="4" w:space="0" w:color="auto"/>
            </w:tcBorders>
            <w:hideMark/>
          </w:tcPr>
          <w:p w14:paraId="44CA2488" w14:textId="7502DE2A" w:rsidR="00904B93" w:rsidRPr="002F1114" w:rsidRDefault="003341B7" w:rsidP="00656566">
            <w:pPr>
              <w:rPr>
                <w:rFonts w:ascii="Arial" w:hAnsi="Arial"/>
              </w:rPr>
            </w:pPr>
            <w:r w:rsidRPr="002F1114">
              <w:rPr>
                <w:rFonts w:ascii="Arial" w:hAnsi="Arial"/>
              </w:rPr>
              <w:t>1</w:t>
            </w:r>
          </w:p>
        </w:tc>
      </w:tr>
      <w:tr w:rsidR="00904B93" w:rsidRPr="002F1114" w14:paraId="4AF07BB8" w14:textId="77777777" w:rsidTr="00797BC9">
        <w:tc>
          <w:tcPr>
            <w:tcW w:w="1944" w:type="dxa"/>
            <w:tcBorders>
              <w:top w:val="single" w:sz="4" w:space="0" w:color="auto"/>
              <w:left w:val="single" w:sz="4" w:space="0" w:color="auto"/>
              <w:bottom w:val="single" w:sz="4" w:space="0" w:color="auto"/>
              <w:right w:val="single" w:sz="4" w:space="0" w:color="auto"/>
            </w:tcBorders>
            <w:hideMark/>
          </w:tcPr>
          <w:p w14:paraId="7D5236CB" w14:textId="77777777" w:rsidR="00904B93" w:rsidRPr="002F1114" w:rsidRDefault="00904B93" w:rsidP="00656566">
            <w:pPr>
              <w:rPr>
                <w:rFonts w:ascii="Arial" w:hAnsi="Arial"/>
              </w:rPr>
            </w:pPr>
            <w:r w:rsidRPr="002F1114">
              <w:rPr>
                <w:rFonts w:ascii="Arial" w:hAnsi="Arial"/>
              </w:rPr>
              <w:t>Total out of pocket expenses</w:t>
            </w:r>
          </w:p>
        </w:tc>
        <w:tc>
          <w:tcPr>
            <w:tcW w:w="8516" w:type="dxa"/>
            <w:gridSpan w:val="5"/>
            <w:tcBorders>
              <w:top w:val="single" w:sz="4" w:space="0" w:color="auto"/>
              <w:left w:val="single" w:sz="4" w:space="0" w:color="auto"/>
              <w:bottom w:val="single" w:sz="4" w:space="0" w:color="auto"/>
              <w:right w:val="single" w:sz="4" w:space="0" w:color="auto"/>
            </w:tcBorders>
            <w:hideMark/>
          </w:tcPr>
          <w:p w14:paraId="560CFA70" w14:textId="1D144F28" w:rsidR="00904B93" w:rsidRPr="002F1114" w:rsidRDefault="003341B7" w:rsidP="00656566">
            <w:pPr>
              <w:rPr>
                <w:rFonts w:ascii="Arial" w:hAnsi="Arial"/>
              </w:rPr>
            </w:pPr>
            <w:r w:rsidRPr="002F1114">
              <w:rPr>
                <w:rFonts w:ascii="Arial" w:hAnsi="Arial"/>
              </w:rPr>
              <w:t>Nil</w:t>
            </w:r>
          </w:p>
        </w:tc>
      </w:tr>
    </w:tbl>
    <w:p w14:paraId="7DB8506D" w14:textId="77242FCF" w:rsidR="00124910" w:rsidRPr="00E4449B" w:rsidRDefault="00124910" w:rsidP="00124910">
      <w:pPr>
        <w:rPr>
          <w:lang w:eastAsia="en-US"/>
        </w:rPr>
      </w:pPr>
    </w:p>
    <w:tbl>
      <w:tblPr>
        <w:tblStyle w:val="TableGrid10"/>
        <w:tblW w:w="0" w:type="auto"/>
        <w:tblLook w:val="04A0" w:firstRow="1" w:lastRow="0" w:firstColumn="1" w:lastColumn="0" w:noHBand="0" w:noVBand="1"/>
      </w:tblPr>
      <w:tblGrid>
        <w:gridCol w:w="1945"/>
        <w:gridCol w:w="1617"/>
        <w:gridCol w:w="1944"/>
        <w:gridCol w:w="1482"/>
        <w:gridCol w:w="1484"/>
        <w:gridCol w:w="1988"/>
      </w:tblGrid>
      <w:tr w:rsidR="00F844BA" w:rsidRPr="002F1114" w14:paraId="747F01FB" w14:textId="77777777" w:rsidTr="00695BCA">
        <w:trPr>
          <w:tblHeader/>
        </w:trPr>
        <w:tc>
          <w:tcPr>
            <w:tcW w:w="1046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C13E47" w14:textId="56033254" w:rsidR="00F844BA" w:rsidRPr="002F1114" w:rsidRDefault="00CC6C9E" w:rsidP="002F1114">
            <w:pPr>
              <w:rPr>
                <w:rFonts w:ascii="Arial" w:hAnsi="Arial"/>
              </w:rPr>
            </w:pPr>
            <w:r w:rsidRPr="002F1114">
              <w:rPr>
                <w:rFonts w:ascii="Arial" w:hAnsi="Arial"/>
              </w:rPr>
              <w:t>THE LOCAL THRIVING COMMUNITIES JOINT COORDINATING COMMITTEE (JCC)</w:t>
            </w:r>
            <w:r w:rsidR="000815E9" w:rsidRPr="002F1114">
              <w:rPr>
                <w:rFonts w:ascii="Arial" w:hAnsi="Arial"/>
              </w:rPr>
              <w:t xml:space="preserve"> </w:t>
            </w:r>
          </w:p>
        </w:tc>
      </w:tr>
      <w:tr w:rsidR="00F844BA" w:rsidRPr="002F1114" w14:paraId="2575F94E" w14:textId="77777777" w:rsidTr="00695BCA">
        <w:tc>
          <w:tcPr>
            <w:tcW w:w="1945" w:type="dxa"/>
            <w:tcBorders>
              <w:top w:val="single" w:sz="4" w:space="0" w:color="auto"/>
              <w:left w:val="single" w:sz="4" w:space="0" w:color="auto"/>
              <w:bottom w:val="single" w:sz="4" w:space="0" w:color="auto"/>
              <w:right w:val="single" w:sz="4" w:space="0" w:color="auto"/>
            </w:tcBorders>
            <w:hideMark/>
          </w:tcPr>
          <w:p w14:paraId="477BF25E" w14:textId="77777777" w:rsidR="00F844BA" w:rsidRPr="002F1114" w:rsidRDefault="00F844BA" w:rsidP="002F1114">
            <w:pPr>
              <w:rPr>
                <w:rFonts w:ascii="Arial" w:hAnsi="Arial"/>
              </w:rPr>
            </w:pPr>
            <w:r w:rsidRPr="002F1114">
              <w:rPr>
                <w:rFonts w:ascii="Arial" w:hAnsi="Arial"/>
              </w:rPr>
              <w:t>Act or instrument</w:t>
            </w:r>
          </w:p>
        </w:tc>
        <w:tc>
          <w:tcPr>
            <w:tcW w:w="8515" w:type="dxa"/>
            <w:gridSpan w:val="5"/>
            <w:tcBorders>
              <w:top w:val="single" w:sz="4" w:space="0" w:color="auto"/>
              <w:left w:val="single" w:sz="4" w:space="0" w:color="auto"/>
              <w:bottom w:val="single" w:sz="4" w:space="0" w:color="auto"/>
              <w:right w:val="single" w:sz="4" w:space="0" w:color="auto"/>
            </w:tcBorders>
            <w:hideMark/>
          </w:tcPr>
          <w:p w14:paraId="790DE779" w14:textId="30F0F42D" w:rsidR="00F844BA" w:rsidRPr="002F1114" w:rsidRDefault="00F844BA" w:rsidP="002F1114">
            <w:pPr>
              <w:rPr>
                <w:rFonts w:ascii="Arial" w:hAnsi="Arial"/>
              </w:rPr>
            </w:pPr>
            <w:r w:rsidRPr="002F1114">
              <w:rPr>
                <w:rFonts w:ascii="Arial" w:hAnsi="Arial"/>
              </w:rPr>
              <w:t>Terms of Reference</w:t>
            </w:r>
          </w:p>
        </w:tc>
      </w:tr>
      <w:tr w:rsidR="00F844BA" w:rsidRPr="002F1114" w14:paraId="031C5374" w14:textId="77777777" w:rsidTr="00695BCA">
        <w:tc>
          <w:tcPr>
            <w:tcW w:w="1945" w:type="dxa"/>
            <w:tcBorders>
              <w:top w:val="single" w:sz="4" w:space="0" w:color="auto"/>
              <w:left w:val="single" w:sz="4" w:space="0" w:color="auto"/>
              <w:bottom w:val="single" w:sz="4" w:space="0" w:color="auto"/>
              <w:right w:val="single" w:sz="4" w:space="0" w:color="auto"/>
            </w:tcBorders>
            <w:hideMark/>
          </w:tcPr>
          <w:p w14:paraId="39E9F1FD" w14:textId="77777777" w:rsidR="00F844BA" w:rsidRPr="002F1114" w:rsidRDefault="00F844BA" w:rsidP="002F1114">
            <w:pPr>
              <w:rPr>
                <w:rFonts w:ascii="Arial" w:hAnsi="Arial"/>
              </w:rPr>
            </w:pPr>
            <w:r w:rsidRPr="002F1114">
              <w:rPr>
                <w:rFonts w:ascii="Arial" w:hAnsi="Arial"/>
              </w:rPr>
              <w:t>Functions</w:t>
            </w:r>
          </w:p>
        </w:tc>
        <w:tc>
          <w:tcPr>
            <w:tcW w:w="8515" w:type="dxa"/>
            <w:gridSpan w:val="5"/>
            <w:tcBorders>
              <w:top w:val="single" w:sz="4" w:space="0" w:color="auto"/>
              <w:left w:val="single" w:sz="4" w:space="0" w:color="auto"/>
              <w:bottom w:val="single" w:sz="4" w:space="0" w:color="auto"/>
              <w:right w:val="single" w:sz="4" w:space="0" w:color="auto"/>
            </w:tcBorders>
            <w:hideMark/>
          </w:tcPr>
          <w:p w14:paraId="5EF549C7" w14:textId="49B72634" w:rsidR="00F844BA" w:rsidRPr="002F1114" w:rsidRDefault="00695BCA" w:rsidP="00797BC9">
            <w:pPr>
              <w:rPr>
                <w:rFonts w:ascii="Arial" w:hAnsi="Arial"/>
              </w:rPr>
            </w:pPr>
            <w:r w:rsidRPr="00695BCA">
              <w:rPr>
                <w:rFonts w:ascii="Arial" w:hAnsi="Arial"/>
              </w:rPr>
              <w:t>The Local Thriving Communities Joint Coordinating Committee (JCC) was established on 22 December 2019 as a mechanism for representatives from government (local, state and federal) and Queensland Aboriginal and Torres Strait Islander communities to oversee the LTC reform agenda and provide advice on co-design and implementation.  Its membership (22) comprises six representatives from First Nations communities, five Mayoral representatives nominated by the Local Government Association of Queensland Indigenous Leaders Forum (currently awaiting endorsement and attending meetings as guests) and 11 state and federal government representatives as equal partners.</w:t>
            </w:r>
          </w:p>
        </w:tc>
      </w:tr>
      <w:tr w:rsidR="00F844BA" w:rsidRPr="002F1114" w14:paraId="69AA5522" w14:textId="77777777" w:rsidTr="00695BCA">
        <w:tc>
          <w:tcPr>
            <w:tcW w:w="1945" w:type="dxa"/>
            <w:tcBorders>
              <w:top w:val="single" w:sz="4" w:space="0" w:color="auto"/>
              <w:left w:val="single" w:sz="4" w:space="0" w:color="auto"/>
              <w:bottom w:val="single" w:sz="4" w:space="0" w:color="auto"/>
              <w:right w:val="single" w:sz="4" w:space="0" w:color="auto"/>
            </w:tcBorders>
            <w:hideMark/>
          </w:tcPr>
          <w:p w14:paraId="70BA3BCA" w14:textId="77777777" w:rsidR="00F844BA" w:rsidRPr="002F1114" w:rsidRDefault="00F844BA" w:rsidP="002F1114">
            <w:pPr>
              <w:rPr>
                <w:rFonts w:ascii="Arial" w:hAnsi="Arial"/>
              </w:rPr>
            </w:pPr>
            <w:r w:rsidRPr="002F1114">
              <w:rPr>
                <w:rFonts w:ascii="Arial" w:hAnsi="Arial"/>
              </w:rPr>
              <w:t>Achievements</w:t>
            </w:r>
          </w:p>
        </w:tc>
        <w:tc>
          <w:tcPr>
            <w:tcW w:w="8515" w:type="dxa"/>
            <w:gridSpan w:val="5"/>
            <w:tcBorders>
              <w:top w:val="single" w:sz="4" w:space="0" w:color="auto"/>
              <w:left w:val="single" w:sz="4" w:space="0" w:color="auto"/>
              <w:bottom w:val="single" w:sz="4" w:space="0" w:color="auto"/>
              <w:right w:val="single" w:sz="4" w:space="0" w:color="auto"/>
            </w:tcBorders>
            <w:hideMark/>
          </w:tcPr>
          <w:p w14:paraId="3394AC7F" w14:textId="6528E6A1" w:rsidR="00F844BA" w:rsidRPr="002F1114" w:rsidRDefault="00695BCA" w:rsidP="002F1114">
            <w:pPr>
              <w:rPr>
                <w:rFonts w:ascii="Arial" w:hAnsi="Arial"/>
              </w:rPr>
            </w:pPr>
            <w:r w:rsidRPr="00695BCA">
              <w:rPr>
                <w:rFonts w:ascii="Arial" w:hAnsi="Arial"/>
              </w:rPr>
              <w:t xml:space="preserve">Six meetings of the JCC were co-chaired by a community member and the Director-General of the Department of Seniors, Disability Services and Aboriginal and Torres </w:t>
            </w:r>
            <w:r w:rsidRPr="00695BCA">
              <w:rPr>
                <w:rFonts w:ascii="Arial" w:hAnsi="Arial"/>
              </w:rPr>
              <w:lastRenderedPageBreak/>
              <w:t>Strait Islander Partnerships to give effect to the reframed relationship between the Queensland Government and Aboriginal and Torres Strait Islander people. Through shared decision-making, community and government JCC members are ensuring sustainable progress through an iterative approach to implementation of the reform. In 2020-21 this included a meeting and community engagement in Yarrabah on 17 March 2021.  JCC community members also co-designed communication tools and resources to share clear, accessible information about the opportunities presented by LTC.</w:t>
            </w:r>
          </w:p>
        </w:tc>
      </w:tr>
      <w:tr w:rsidR="00F844BA" w:rsidRPr="002F1114" w14:paraId="27CD698F" w14:textId="77777777" w:rsidTr="00695BCA">
        <w:tc>
          <w:tcPr>
            <w:tcW w:w="1945" w:type="dxa"/>
            <w:tcBorders>
              <w:top w:val="single" w:sz="4" w:space="0" w:color="auto"/>
              <w:left w:val="single" w:sz="4" w:space="0" w:color="auto"/>
              <w:bottom w:val="single" w:sz="4" w:space="0" w:color="auto"/>
              <w:right w:val="single" w:sz="4" w:space="0" w:color="auto"/>
            </w:tcBorders>
            <w:hideMark/>
          </w:tcPr>
          <w:p w14:paraId="4690E0C1" w14:textId="77777777" w:rsidR="00F844BA" w:rsidRPr="002F1114" w:rsidRDefault="00F844BA" w:rsidP="002F1114">
            <w:pPr>
              <w:rPr>
                <w:rFonts w:ascii="Arial" w:hAnsi="Arial"/>
              </w:rPr>
            </w:pPr>
            <w:r w:rsidRPr="002F1114">
              <w:rPr>
                <w:rFonts w:ascii="Arial" w:hAnsi="Arial"/>
              </w:rPr>
              <w:lastRenderedPageBreak/>
              <w:t>Financial reporting</w:t>
            </w:r>
          </w:p>
        </w:tc>
        <w:tc>
          <w:tcPr>
            <w:tcW w:w="8515" w:type="dxa"/>
            <w:gridSpan w:val="5"/>
            <w:tcBorders>
              <w:top w:val="single" w:sz="4" w:space="0" w:color="auto"/>
              <w:left w:val="single" w:sz="4" w:space="0" w:color="auto"/>
              <w:bottom w:val="single" w:sz="4" w:space="0" w:color="auto"/>
              <w:right w:val="single" w:sz="4" w:space="0" w:color="auto"/>
            </w:tcBorders>
            <w:hideMark/>
          </w:tcPr>
          <w:p w14:paraId="3F0B1911" w14:textId="1C0FB401" w:rsidR="00F844BA" w:rsidRPr="002F1114" w:rsidRDefault="00695BCA" w:rsidP="002F1114">
            <w:pPr>
              <w:rPr>
                <w:rFonts w:ascii="Arial" w:hAnsi="Arial"/>
              </w:rPr>
            </w:pPr>
            <w:r w:rsidRPr="00695BCA">
              <w:rPr>
                <w:rFonts w:ascii="Arial" w:hAnsi="Arial"/>
              </w:rPr>
              <w:t>The transactions of the board are captured in the department’s financial statement.</w:t>
            </w:r>
          </w:p>
        </w:tc>
      </w:tr>
      <w:tr w:rsidR="00F844BA" w:rsidRPr="007E6DF6" w14:paraId="47E1B67D" w14:textId="77777777" w:rsidTr="00695BCA">
        <w:tc>
          <w:tcPr>
            <w:tcW w:w="10460" w:type="dxa"/>
            <w:gridSpan w:val="6"/>
            <w:tcBorders>
              <w:top w:val="single" w:sz="4" w:space="0" w:color="auto"/>
              <w:left w:val="single" w:sz="4" w:space="0" w:color="auto"/>
              <w:bottom w:val="single" w:sz="4" w:space="0" w:color="auto"/>
              <w:right w:val="single" w:sz="4" w:space="0" w:color="auto"/>
            </w:tcBorders>
            <w:hideMark/>
          </w:tcPr>
          <w:p w14:paraId="58FEF16A" w14:textId="1416C287" w:rsidR="00695BCA" w:rsidRPr="007E6DF6" w:rsidRDefault="00F844BA" w:rsidP="00695BCA">
            <w:pPr>
              <w:rPr>
                <w:rFonts w:ascii="Arial" w:hAnsi="Arial"/>
              </w:rPr>
            </w:pPr>
            <w:r w:rsidRPr="007E6DF6">
              <w:rPr>
                <w:rFonts w:ascii="Arial" w:hAnsi="Arial"/>
              </w:rPr>
              <w:t xml:space="preserve">Remuneration: </w:t>
            </w:r>
            <w:r w:rsidR="00695BCA" w:rsidRPr="007E6DF6">
              <w:rPr>
                <w:rFonts w:ascii="Arial" w:hAnsi="Arial"/>
              </w:rPr>
              <w:t xml:space="preserve">JCC Community Members are remunerated under the Queensland Government’s </w:t>
            </w:r>
            <w:r w:rsidR="00695BCA" w:rsidRPr="007E6DF6">
              <w:rPr>
                <w:rFonts w:ascii="Arial" w:hAnsi="Arial"/>
                <w:i/>
                <w:iCs/>
              </w:rPr>
              <w:t>Remuneration Procedures for Part-time Chairs and Members of Queensland Government Bodies</w:t>
            </w:r>
            <w:r w:rsidR="00695BCA" w:rsidRPr="007E6DF6">
              <w:rPr>
                <w:rFonts w:ascii="Arial" w:hAnsi="Arial"/>
              </w:rPr>
              <w:t xml:space="preserve">. JCC Community Members are paid in accordance with Level 3 of the Regulation, Administration and Advice Category of the Remuneration Matrix. </w:t>
            </w:r>
          </w:p>
          <w:p w14:paraId="1EAA7718" w14:textId="48316093" w:rsidR="00695BCA" w:rsidRPr="007E6DF6" w:rsidRDefault="00695BCA" w:rsidP="00695BCA">
            <w:pPr>
              <w:rPr>
                <w:rFonts w:ascii="Arial" w:hAnsi="Arial"/>
              </w:rPr>
            </w:pPr>
            <w:r w:rsidRPr="007E6DF6">
              <w:rPr>
                <w:rFonts w:ascii="Arial" w:hAnsi="Arial"/>
              </w:rPr>
              <w:t xml:space="preserve">Community members are paid a daily meeting fee of $300 and the Co-Chair is paid a daily meeting fee of $390.00 for JCC meetings. Community Members are also remunerated for ‘preparation and pre-briefing’ prior to each meeting at 50% of the meeting fee (less than four hours meeting fees). </w:t>
            </w:r>
          </w:p>
          <w:p w14:paraId="0E575843" w14:textId="0CA79549" w:rsidR="00F844BA" w:rsidRPr="007E6DF6" w:rsidRDefault="00695BCA" w:rsidP="00695BCA">
            <w:pPr>
              <w:rPr>
                <w:rFonts w:ascii="Arial" w:hAnsi="Arial"/>
              </w:rPr>
            </w:pPr>
            <w:r w:rsidRPr="007E6DF6">
              <w:rPr>
                <w:rFonts w:ascii="Arial" w:hAnsi="Arial"/>
              </w:rPr>
              <w:t xml:space="preserve">As Co-Chair the Director-General, Department of Seniors, Disability Services and Aboriginal and Torres Strait Islander Partnerships is also able to approve remuneration for additional activities including member attendance at consultation, workshops or engagement. Members are remunerated for these activities in accordance with the Queensland Government’s </w:t>
            </w:r>
            <w:r w:rsidRPr="007E6DF6">
              <w:rPr>
                <w:rFonts w:ascii="Arial" w:hAnsi="Arial"/>
                <w:i/>
                <w:iCs/>
              </w:rPr>
              <w:t>Remuneration Procedures for Part-time Chairs and Members of Queensland Government Bodies</w:t>
            </w:r>
            <w:r w:rsidRPr="007E6DF6">
              <w:rPr>
                <w:rFonts w:ascii="Arial" w:hAnsi="Arial"/>
              </w:rPr>
              <w:t>.</w:t>
            </w:r>
          </w:p>
        </w:tc>
      </w:tr>
      <w:tr w:rsidR="00F844BA" w:rsidRPr="007E6DF6" w14:paraId="6B9CAADB" w14:textId="77777777" w:rsidTr="00695BCA">
        <w:tc>
          <w:tcPr>
            <w:tcW w:w="1945" w:type="dxa"/>
            <w:tcBorders>
              <w:top w:val="single" w:sz="4" w:space="0" w:color="auto"/>
              <w:left w:val="single" w:sz="4" w:space="0" w:color="auto"/>
              <w:bottom w:val="single" w:sz="4" w:space="0" w:color="auto"/>
              <w:right w:val="single" w:sz="4" w:space="0" w:color="auto"/>
            </w:tcBorders>
            <w:hideMark/>
          </w:tcPr>
          <w:p w14:paraId="3922C36F" w14:textId="77777777" w:rsidR="00F844BA" w:rsidRPr="007E6DF6" w:rsidRDefault="00F844BA" w:rsidP="002F1114">
            <w:pPr>
              <w:rPr>
                <w:rFonts w:ascii="Arial" w:hAnsi="Arial"/>
              </w:rPr>
            </w:pPr>
            <w:r w:rsidRPr="007E6DF6">
              <w:rPr>
                <w:rFonts w:ascii="Arial" w:hAnsi="Arial"/>
              </w:rPr>
              <w:t>Position</w:t>
            </w:r>
          </w:p>
        </w:tc>
        <w:tc>
          <w:tcPr>
            <w:tcW w:w="1617" w:type="dxa"/>
            <w:tcBorders>
              <w:top w:val="single" w:sz="4" w:space="0" w:color="auto"/>
              <w:left w:val="single" w:sz="4" w:space="0" w:color="auto"/>
              <w:bottom w:val="single" w:sz="4" w:space="0" w:color="auto"/>
              <w:right w:val="single" w:sz="4" w:space="0" w:color="auto"/>
            </w:tcBorders>
            <w:hideMark/>
          </w:tcPr>
          <w:p w14:paraId="05B053FE" w14:textId="77777777" w:rsidR="00F844BA" w:rsidRPr="007E6DF6" w:rsidRDefault="00F844BA" w:rsidP="002F1114">
            <w:pPr>
              <w:rPr>
                <w:rFonts w:ascii="Arial" w:hAnsi="Arial"/>
              </w:rPr>
            </w:pPr>
            <w:r w:rsidRPr="007E6DF6">
              <w:rPr>
                <w:rFonts w:ascii="Arial" w:hAnsi="Arial"/>
              </w:rPr>
              <w:t>Name</w:t>
            </w:r>
          </w:p>
        </w:tc>
        <w:tc>
          <w:tcPr>
            <w:tcW w:w="1944" w:type="dxa"/>
            <w:tcBorders>
              <w:top w:val="single" w:sz="4" w:space="0" w:color="auto"/>
              <w:left w:val="single" w:sz="4" w:space="0" w:color="auto"/>
              <w:bottom w:val="single" w:sz="4" w:space="0" w:color="auto"/>
              <w:right w:val="single" w:sz="4" w:space="0" w:color="auto"/>
            </w:tcBorders>
            <w:hideMark/>
          </w:tcPr>
          <w:p w14:paraId="5892E282" w14:textId="77777777" w:rsidR="00F844BA" w:rsidRPr="007E6DF6" w:rsidRDefault="00F844BA" w:rsidP="002F1114">
            <w:pPr>
              <w:rPr>
                <w:rFonts w:ascii="Arial" w:hAnsi="Arial"/>
              </w:rPr>
            </w:pPr>
            <w:r w:rsidRPr="007E6DF6">
              <w:rPr>
                <w:rFonts w:ascii="Arial" w:hAnsi="Arial"/>
              </w:rPr>
              <w:t>Meetings/sessions attendance</w:t>
            </w:r>
          </w:p>
        </w:tc>
        <w:tc>
          <w:tcPr>
            <w:tcW w:w="1482" w:type="dxa"/>
            <w:tcBorders>
              <w:top w:val="single" w:sz="4" w:space="0" w:color="auto"/>
              <w:left w:val="single" w:sz="4" w:space="0" w:color="auto"/>
              <w:bottom w:val="single" w:sz="4" w:space="0" w:color="auto"/>
              <w:right w:val="single" w:sz="4" w:space="0" w:color="auto"/>
            </w:tcBorders>
            <w:hideMark/>
          </w:tcPr>
          <w:p w14:paraId="160867A7" w14:textId="77777777" w:rsidR="00F844BA" w:rsidRPr="007E6DF6" w:rsidRDefault="00F844BA" w:rsidP="002F1114">
            <w:pPr>
              <w:rPr>
                <w:rFonts w:ascii="Arial" w:hAnsi="Arial"/>
              </w:rPr>
            </w:pPr>
            <w:r w:rsidRPr="007E6DF6">
              <w:rPr>
                <w:rFonts w:ascii="Arial" w:hAnsi="Arial"/>
              </w:rPr>
              <w:t xml:space="preserve">Approved annual, sessional or daily fee </w:t>
            </w:r>
          </w:p>
        </w:tc>
        <w:tc>
          <w:tcPr>
            <w:tcW w:w="1484" w:type="dxa"/>
            <w:tcBorders>
              <w:top w:val="single" w:sz="4" w:space="0" w:color="auto"/>
              <w:left w:val="single" w:sz="4" w:space="0" w:color="auto"/>
              <w:bottom w:val="single" w:sz="4" w:space="0" w:color="auto"/>
              <w:right w:val="single" w:sz="4" w:space="0" w:color="auto"/>
            </w:tcBorders>
            <w:hideMark/>
          </w:tcPr>
          <w:p w14:paraId="5B7D1DA6" w14:textId="77777777" w:rsidR="00F844BA" w:rsidRPr="007E6DF6" w:rsidRDefault="00F844BA" w:rsidP="002F1114">
            <w:pPr>
              <w:rPr>
                <w:rFonts w:ascii="Arial" w:hAnsi="Arial"/>
              </w:rPr>
            </w:pPr>
            <w:r w:rsidRPr="007E6DF6">
              <w:rPr>
                <w:rFonts w:ascii="Arial" w:hAnsi="Arial"/>
              </w:rPr>
              <w:t>Approved sub-committee fees if applicable</w:t>
            </w:r>
          </w:p>
        </w:tc>
        <w:tc>
          <w:tcPr>
            <w:tcW w:w="1988" w:type="dxa"/>
            <w:tcBorders>
              <w:top w:val="single" w:sz="4" w:space="0" w:color="auto"/>
              <w:left w:val="single" w:sz="4" w:space="0" w:color="auto"/>
              <w:bottom w:val="single" w:sz="4" w:space="0" w:color="auto"/>
              <w:right w:val="single" w:sz="4" w:space="0" w:color="auto"/>
            </w:tcBorders>
            <w:hideMark/>
          </w:tcPr>
          <w:p w14:paraId="69E75B0B" w14:textId="77777777" w:rsidR="00F844BA" w:rsidRPr="007E6DF6" w:rsidRDefault="00F844BA" w:rsidP="002F1114">
            <w:pPr>
              <w:rPr>
                <w:rFonts w:ascii="Arial" w:hAnsi="Arial"/>
              </w:rPr>
            </w:pPr>
            <w:r w:rsidRPr="007E6DF6">
              <w:rPr>
                <w:rFonts w:ascii="Arial" w:hAnsi="Arial"/>
              </w:rPr>
              <w:t xml:space="preserve">Actual fees received </w:t>
            </w:r>
          </w:p>
        </w:tc>
      </w:tr>
      <w:tr w:rsidR="00695BCA" w:rsidRPr="007E6DF6" w14:paraId="5E664770" w14:textId="77777777" w:rsidTr="00695BCA">
        <w:tc>
          <w:tcPr>
            <w:tcW w:w="1945" w:type="dxa"/>
            <w:tcBorders>
              <w:top w:val="single" w:sz="4" w:space="0" w:color="auto"/>
              <w:left w:val="single" w:sz="4" w:space="0" w:color="auto"/>
              <w:bottom w:val="single" w:sz="4" w:space="0" w:color="auto"/>
              <w:right w:val="single" w:sz="4" w:space="0" w:color="auto"/>
            </w:tcBorders>
          </w:tcPr>
          <w:p w14:paraId="41AEF548" w14:textId="77777777" w:rsidR="00695BCA" w:rsidRPr="007E6DF6" w:rsidRDefault="00695BCA" w:rsidP="00695BCA">
            <w:pPr>
              <w:rPr>
                <w:rFonts w:ascii="Arial" w:hAnsi="Arial"/>
                <w:sz w:val="17"/>
                <w:szCs w:val="17"/>
              </w:rPr>
            </w:pPr>
            <w:r w:rsidRPr="007E6DF6">
              <w:rPr>
                <w:rFonts w:ascii="Arial" w:hAnsi="Arial"/>
                <w:sz w:val="17"/>
                <w:szCs w:val="17"/>
              </w:rPr>
              <w:t>Co-Chair</w:t>
            </w:r>
          </w:p>
          <w:p w14:paraId="7453890B" w14:textId="6F283508" w:rsidR="00695BCA" w:rsidRPr="007E6DF6" w:rsidRDefault="00695BCA" w:rsidP="00695BCA">
            <w:pPr>
              <w:rPr>
                <w:rFonts w:ascii="Arial" w:hAnsi="Arial"/>
                <w:sz w:val="17"/>
                <w:szCs w:val="17"/>
              </w:rPr>
            </w:pPr>
          </w:p>
        </w:tc>
        <w:tc>
          <w:tcPr>
            <w:tcW w:w="1617" w:type="dxa"/>
            <w:tcBorders>
              <w:top w:val="single" w:sz="4" w:space="0" w:color="auto"/>
              <w:left w:val="single" w:sz="4" w:space="0" w:color="auto"/>
              <w:bottom w:val="single" w:sz="4" w:space="0" w:color="auto"/>
              <w:right w:val="single" w:sz="4" w:space="0" w:color="auto"/>
            </w:tcBorders>
          </w:tcPr>
          <w:p w14:paraId="0B8C8733" w14:textId="77777777" w:rsidR="00695BCA" w:rsidRPr="007E6DF6" w:rsidRDefault="00695BCA" w:rsidP="00695BCA">
            <w:pPr>
              <w:rPr>
                <w:rFonts w:ascii="Arial" w:hAnsi="Arial"/>
                <w:sz w:val="17"/>
                <w:szCs w:val="17"/>
              </w:rPr>
            </w:pPr>
            <w:r w:rsidRPr="007E6DF6">
              <w:rPr>
                <w:rFonts w:ascii="Arial" w:hAnsi="Arial"/>
                <w:sz w:val="17"/>
                <w:szCs w:val="17"/>
              </w:rPr>
              <w:t>Dr Chris Sarra</w:t>
            </w:r>
          </w:p>
          <w:p w14:paraId="43BD6401" w14:textId="292B7463" w:rsidR="00A748F2" w:rsidRPr="007E6DF6" w:rsidRDefault="00A748F2" w:rsidP="00695BCA">
            <w:pPr>
              <w:rPr>
                <w:rFonts w:ascii="Arial" w:hAnsi="Arial"/>
                <w:sz w:val="17"/>
                <w:szCs w:val="17"/>
              </w:rPr>
            </w:pPr>
            <w:r w:rsidRPr="007E6DF6">
              <w:rPr>
                <w:rFonts w:ascii="Arial" w:hAnsi="Arial"/>
                <w:sz w:val="17"/>
                <w:szCs w:val="17"/>
              </w:rPr>
              <w:t>Director-General Department of Seniors, Disability Services and Aboriginal and Torres Strait Islander Partnerships</w:t>
            </w:r>
          </w:p>
        </w:tc>
        <w:tc>
          <w:tcPr>
            <w:tcW w:w="1944" w:type="dxa"/>
            <w:tcBorders>
              <w:top w:val="single" w:sz="4" w:space="0" w:color="auto"/>
              <w:left w:val="single" w:sz="4" w:space="0" w:color="auto"/>
              <w:bottom w:val="single" w:sz="4" w:space="0" w:color="auto"/>
              <w:right w:val="single" w:sz="4" w:space="0" w:color="auto"/>
            </w:tcBorders>
          </w:tcPr>
          <w:p w14:paraId="53B261B0" w14:textId="2295D395" w:rsidR="00695BCA" w:rsidRPr="007E6DF6" w:rsidRDefault="00695BCA" w:rsidP="00695BCA">
            <w:pPr>
              <w:rPr>
                <w:rFonts w:ascii="Arial" w:hAnsi="Arial"/>
                <w:sz w:val="16"/>
                <w:szCs w:val="16"/>
              </w:rPr>
            </w:pPr>
            <w:r w:rsidRPr="007E6DF6">
              <w:rPr>
                <w:rFonts w:ascii="Arial" w:hAnsi="Arial"/>
                <w:i/>
                <w:sz w:val="16"/>
                <w:szCs w:val="16"/>
              </w:rPr>
              <w:t>6</w:t>
            </w:r>
          </w:p>
        </w:tc>
        <w:tc>
          <w:tcPr>
            <w:tcW w:w="1482" w:type="dxa"/>
            <w:tcBorders>
              <w:top w:val="single" w:sz="4" w:space="0" w:color="auto"/>
              <w:left w:val="single" w:sz="4" w:space="0" w:color="auto"/>
              <w:bottom w:val="single" w:sz="4" w:space="0" w:color="auto"/>
              <w:right w:val="single" w:sz="4" w:space="0" w:color="auto"/>
            </w:tcBorders>
          </w:tcPr>
          <w:p w14:paraId="7D5A8948" w14:textId="68E2BAAA"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15518206" w14:textId="5D200D28"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72F5E530" w14:textId="31A5ABF9" w:rsidR="00695BCA" w:rsidRPr="007E6DF6" w:rsidRDefault="00695BCA" w:rsidP="00695BCA">
            <w:pPr>
              <w:rPr>
                <w:rFonts w:ascii="Arial" w:hAnsi="Arial"/>
                <w:sz w:val="16"/>
                <w:szCs w:val="16"/>
              </w:rPr>
            </w:pPr>
            <w:r w:rsidRPr="007E6DF6">
              <w:rPr>
                <w:rFonts w:ascii="Arial" w:hAnsi="Arial"/>
                <w:sz w:val="16"/>
                <w:szCs w:val="16"/>
              </w:rPr>
              <w:t xml:space="preserve">N/A </w:t>
            </w:r>
          </w:p>
        </w:tc>
      </w:tr>
      <w:tr w:rsidR="00695BCA" w:rsidRPr="007E6DF6" w14:paraId="75502421" w14:textId="77777777" w:rsidTr="00695BCA">
        <w:tc>
          <w:tcPr>
            <w:tcW w:w="1945" w:type="dxa"/>
            <w:tcBorders>
              <w:top w:val="single" w:sz="4" w:space="0" w:color="auto"/>
              <w:left w:val="single" w:sz="4" w:space="0" w:color="auto"/>
              <w:bottom w:val="single" w:sz="4" w:space="0" w:color="auto"/>
              <w:right w:val="single" w:sz="4" w:space="0" w:color="auto"/>
            </w:tcBorders>
          </w:tcPr>
          <w:p w14:paraId="28F73168" w14:textId="77777777" w:rsidR="00695BCA" w:rsidRPr="007E6DF6" w:rsidRDefault="00695BCA" w:rsidP="00695BCA">
            <w:pPr>
              <w:rPr>
                <w:rFonts w:ascii="Arial" w:hAnsi="Arial"/>
                <w:sz w:val="17"/>
                <w:szCs w:val="17"/>
              </w:rPr>
            </w:pPr>
            <w:r w:rsidRPr="007E6DF6">
              <w:rPr>
                <w:rFonts w:ascii="Arial" w:hAnsi="Arial"/>
                <w:sz w:val="17"/>
                <w:szCs w:val="17"/>
              </w:rPr>
              <w:t>Co-Chair (3 meetings)</w:t>
            </w:r>
          </w:p>
          <w:p w14:paraId="7B801214" w14:textId="1180AD34" w:rsidR="00695BCA" w:rsidRPr="007E6DF6" w:rsidRDefault="00695BCA" w:rsidP="00695BCA">
            <w:pPr>
              <w:rPr>
                <w:rFonts w:ascii="Arial" w:hAnsi="Arial"/>
                <w:sz w:val="17"/>
                <w:szCs w:val="17"/>
              </w:rPr>
            </w:pPr>
            <w:r w:rsidRPr="007E6DF6">
              <w:rPr>
                <w:rFonts w:ascii="Arial" w:hAnsi="Arial"/>
                <w:sz w:val="17"/>
                <w:szCs w:val="17"/>
              </w:rPr>
              <w:t>Member (2 meetings)</w:t>
            </w:r>
          </w:p>
        </w:tc>
        <w:tc>
          <w:tcPr>
            <w:tcW w:w="1617" w:type="dxa"/>
            <w:tcBorders>
              <w:top w:val="single" w:sz="4" w:space="0" w:color="auto"/>
              <w:left w:val="single" w:sz="4" w:space="0" w:color="auto"/>
              <w:bottom w:val="single" w:sz="4" w:space="0" w:color="auto"/>
              <w:right w:val="single" w:sz="4" w:space="0" w:color="auto"/>
            </w:tcBorders>
          </w:tcPr>
          <w:p w14:paraId="7B4279E1" w14:textId="143051A3" w:rsidR="00695BCA" w:rsidRPr="007E6DF6" w:rsidRDefault="00695BCA" w:rsidP="00695BCA">
            <w:pPr>
              <w:rPr>
                <w:rFonts w:ascii="Arial" w:hAnsi="Arial"/>
                <w:sz w:val="17"/>
                <w:szCs w:val="17"/>
              </w:rPr>
            </w:pPr>
            <w:r w:rsidRPr="007E6DF6">
              <w:rPr>
                <w:rFonts w:ascii="Arial" w:hAnsi="Arial"/>
                <w:sz w:val="17"/>
                <w:szCs w:val="17"/>
              </w:rPr>
              <w:t>Kelly Barclay</w:t>
            </w:r>
          </w:p>
        </w:tc>
        <w:tc>
          <w:tcPr>
            <w:tcW w:w="1944" w:type="dxa"/>
            <w:tcBorders>
              <w:top w:val="single" w:sz="4" w:space="0" w:color="auto"/>
              <w:left w:val="single" w:sz="4" w:space="0" w:color="auto"/>
              <w:bottom w:val="single" w:sz="4" w:space="0" w:color="auto"/>
              <w:right w:val="single" w:sz="4" w:space="0" w:color="auto"/>
            </w:tcBorders>
          </w:tcPr>
          <w:p w14:paraId="5371EA32"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3 meetings as Co-Chair</w:t>
            </w:r>
          </w:p>
          <w:p w14:paraId="54326910" w14:textId="3CD47067" w:rsidR="00695BCA" w:rsidRPr="00262D6A" w:rsidRDefault="00695BCA" w:rsidP="00695BCA">
            <w:pPr>
              <w:pStyle w:val="Tablebody"/>
              <w:spacing w:after="80"/>
              <w:rPr>
                <w:rFonts w:ascii="Arial" w:hAnsi="Arial"/>
                <w:sz w:val="16"/>
                <w:szCs w:val="16"/>
              </w:rPr>
            </w:pPr>
            <w:r w:rsidRPr="00262D6A">
              <w:rPr>
                <w:rFonts w:ascii="Arial" w:hAnsi="Arial"/>
                <w:sz w:val="16"/>
                <w:szCs w:val="16"/>
              </w:rPr>
              <w:t>12 additional sessions as co-chair (workshops, pre-briefings, additional work)</w:t>
            </w:r>
          </w:p>
          <w:p w14:paraId="19744A4C"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 xml:space="preserve">2 meetings as a member </w:t>
            </w:r>
          </w:p>
          <w:p w14:paraId="404AAD3E" w14:textId="768C7FFF" w:rsidR="00695BCA" w:rsidRPr="00262D6A" w:rsidRDefault="00695BCA" w:rsidP="00695BCA">
            <w:pPr>
              <w:pStyle w:val="Tablebody"/>
              <w:spacing w:after="80"/>
              <w:rPr>
                <w:rFonts w:ascii="Arial" w:hAnsi="Arial"/>
                <w:sz w:val="16"/>
                <w:szCs w:val="16"/>
              </w:rPr>
            </w:pPr>
            <w:r w:rsidRPr="00262D6A">
              <w:rPr>
                <w:rFonts w:ascii="Arial" w:hAnsi="Arial"/>
                <w:sz w:val="16"/>
                <w:szCs w:val="16"/>
              </w:rPr>
              <w:t>6 additional sessions as a member (workshops, pre-briefings, additional work)</w:t>
            </w:r>
          </w:p>
        </w:tc>
        <w:tc>
          <w:tcPr>
            <w:tcW w:w="1482" w:type="dxa"/>
            <w:tcBorders>
              <w:top w:val="single" w:sz="4" w:space="0" w:color="auto"/>
              <w:left w:val="single" w:sz="4" w:space="0" w:color="auto"/>
              <w:bottom w:val="single" w:sz="4" w:space="0" w:color="auto"/>
              <w:right w:val="single" w:sz="4" w:space="0" w:color="auto"/>
            </w:tcBorders>
          </w:tcPr>
          <w:p w14:paraId="2CF5700B" w14:textId="77777777" w:rsidR="00695BCA" w:rsidRPr="007E6DF6" w:rsidRDefault="00695BCA" w:rsidP="00695BCA">
            <w:pPr>
              <w:rPr>
                <w:rFonts w:ascii="Arial" w:hAnsi="Arial"/>
                <w:sz w:val="16"/>
                <w:szCs w:val="16"/>
              </w:rPr>
            </w:pPr>
            <w:r w:rsidRPr="007E6DF6">
              <w:rPr>
                <w:rFonts w:ascii="Arial" w:hAnsi="Arial"/>
                <w:sz w:val="16"/>
                <w:szCs w:val="16"/>
              </w:rPr>
              <w:t>$390.00 (Co-Chair fee)</w:t>
            </w:r>
          </w:p>
          <w:p w14:paraId="5ED818AE" w14:textId="77777777" w:rsidR="00695BCA" w:rsidRPr="007E6DF6" w:rsidRDefault="00695BCA" w:rsidP="00695BCA">
            <w:pPr>
              <w:rPr>
                <w:rFonts w:ascii="Arial" w:hAnsi="Arial"/>
                <w:sz w:val="16"/>
                <w:szCs w:val="16"/>
              </w:rPr>
            </w:pPr>
            <w:r w:rsidRPr="007E6DF6">
              <w:rPr>
                <w:rFonts w:ascii="Arial" w:hAnsi="Arial"/>
                <w:sz w:val="16"/>
                <w:szCs w:val="16"/>
              </w:rPr>
              <w:t xml:space="preserve">$300.00 (Member fee) </w:t>
            </w:r>
          </w:p>
          <w:p w14:paraId="0BE4EAC9" w14:textId="2337BE61" w:rsidR="00695BCA" w:rsidRPr="007E6DF6" w:rsidRDefault="00695BCA" w:rsidP="00695BCA">
            <w:pPr>
              <w:rPr>
                <w:rFonts w:ascii="Arial" w:hAnsi="Arial"/>
                <w:sz w:val="16"/>
                <w:szCs w:val="16"/>
              </w:rPr>
            </w:pPr>
            <w:r w:rsidRPr="007E6DF6">
              <w:rPr>
                <w:rFonts w:ascii="Arial" w:hAnsi="Arial"/>
                <w:sz w:val="16"/>
                <w:szCs w:val="16"/>
              </w:rPr>
              <w:t>50% fees for pre-brief meetings &amp; workshops under 4 hours</w:t>
            </w:r>
          </w:p>
        </w:tc>
        <w:tc>
          <w:tcPr>
            <w:tcW w:w="1484" w:type="dxa"/>
            <w:tcBorders>
              <w:top w:val="single" w:sz="4" w:space="0" w:color="auto"/>
              <w:left w:val="single" w:sz="4" w:space="0" w:color="auto"/>
              <w:bottom w:val="single" w:sz="4" w:space="0" w:color="auto"/>
              <w:right w:val="single" w:sz="4" w:space="0" w:color="auto"/>
            </w:tcBorders>
          </w:tcPr>
          <w:p w14:paraId="680FCA87" w14:textId="2C8F49AF"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40D98F02" w14:textId="100A8C21" w:rsidR="00695BCA" w:rsidRPr="007E6DF6" w:rsidRDefault="00695BCA" w:rsidP="00695BCA">
            <w:pPr>
              <w:rPr>
                <w:rFonts w:ascii="Arial" w:hAnsi="Arial"/>
                <w:sz w:val="16"/>
                <w:szCs w:val="16"/>
              </w:rPr>
            </w:pPr>
            <w:r w:rsidRPr="007E6DF6">
              <w:rPr>
                <w:rFonts w:ascii="Arial" w:hAnsi="Arial"/>
                <w:color w:val="000000"/>
                <w:sz w:val="16"/>
                <w:szCs w:val="16"/>
              </w:rPr>
              <w:t>$     5745.00</w:t>
            </w:r>
          </w:p>
        </w:tc>
      </w:tr>
      <w:tr w:rsidR="00695BCA" w:rsidRPr="007E6DF6" w14:paraId="491F67DE" w14:textId="77777777" w:rsidTr="00695BCA">
        <w:tc>
          <w:tcPr>
            <w:tcW w:w="1945" w:type="dxa"/>
            <w:tcBorders>
              <w:top w:val="single" w:sz="4" w:space="0" w:color="auto"/>
              <w:left w:val="single" w:sz="4" w:space="0" w:color="auto"/>
              <w:bottom w:val="single" w:sz="4" w:space="0" w:color="auto"/>
              <w:right w:val="single" w:sz="4" w:space="0" w:color="auto"/>
            </w:tcBorders>
          </w:tcPr>
          <w:p w14:paraId="60F29298" w14:textId="77777777" w:rsidR="00695BCA" w:rsidRPr="007E6DF6" w:rsidRDefault="00695BCA" w:rsidP="00695BCA">
            <w:pPr>
              <w:rPr>
                <w:rFonts w:ascii="Arial" w:hAnsi="Arial"/>
                <w:sz w:val="17"/>
                <w:szCs w:val="17"/>
              </w:rPr>
            </w:pPr>
            <w:r w:rsidRPr="007E6DF6">
              <w:rPr>
                <w:rFonts w:ascii="Arial" w:hAnsi="Arial"/>
                <w:sz w:val="17"/>
                <w:szCs w:val="17"/>
              </w:rPr>
              <w:t>Co-Chair (3 meetings)</w:t>
            </w:r>
          </w:p>
          <w:p w14:paraId="14CF8E33" w14:textId="258B02AE" w:rsidR="00695BCA" w:rsidRPr="007E6DF6" w:rsidRDefault="00695BCA" w:rsidP="00695BCA">
            <w:pPr>
              <w:rPr>
                <w:rFonts w:ascii="Arial" w:hAnsi="Arial"/>
                <w:sz w:val="17"/>
                <w:szCs w:val="17"/>
              </w:rPr>
            </w:pPr>
            <w:r w:rsidRPr="007E6DF6">
              <w:rPr>
                <w:rFonts w:ascii="Arial" w:hAnsi="Arial"/>
                <w:sz w:val="17"/>
                <w:szCs w:val="17"/>
              </w:rPr>
              <w:t>Member (2 meetings)</w:t>
            </w:r>
          </w:p>
        </w:tc>
        <w:tc>
          <w:tcPr>
            <w:tcW w:w="1617" w:type="dxa"/>
            <w:tcBorders>
              <w:top w:val="single" w:sz="4" w:space="0" w:color="auto"/>
              <w:left w:val="single" w:sz="4" w:space="0" w:color="auto"/>
              <w:bottom w:val="single" w:sz="4" w:space="0" w:color="auto"/>
              <w:right w:val="single" w:sz="4" w:space="0" w:color="auto"/>
            </w:tcBorders>
          </w:tcPr>
          <w:p w14:paraId="3F305C69" w14:textId="77777777" w:rsidR="00695BCA" w:rsidRPr="007E6DF6" w:rsidRDefault="00695BCA" w:rsidP="00695BCA">
            <w:pPr>
              <w:spacing w:after="0" w:line="240" w:lineRule="auto"/>
              <w:rPr>
                <w:rFonts w:ascii="Arial" w:hAnsi="Arial"/>
                <w:sz w:val="17"/>
                <w:szCs w:val="17"/>
              </w:rPr>
            </w:pPr>
            <w:r w:rsidRPr="007E6DF6">
              <w:rPr>
                <w:rFonts w:ascii="Arial" w:hAnsi="Arial"/>
                <w:sz w:val="17"/>
                <w:szCs w:val="17"/>
              </w:rPr>
              <w:t>Joanne</w:t>
            </w:r>
          </w:p>
          <w:p w14:paraId="798EED53" w14:textId="2FDFFE6D" w:rsidR="00695BCA" w:rsidRPr="007E6DF6" w:rsidRDefault="00695BCA" w:rsidP="00695BCA">
            <w:pPr>
              <w:spacing w:after="0" w:line="240" w:lineRule="auto"/>
              <w:rPr>
                <w:rFonts w:ascii="Arial" w:hAnsi="Arial"/>
                <w:sz w:val="17"/>
                <w:szCs w:val="17"/>
              </w:rPr>
            </w:pPr>
            <w:proofErr w:type="spellStart"/>
            <w:r w:rsidRPr="007E6DF6">
              <w:rPr>
                <w:rFonts w:ascii="Arial" w:hAnsi="Arial"/>
                <w:sz w:val="17"/>
                <w:szCs w:val="17"/>
              </w:rPr>
              <w:t>Schmider</w:t>
            </w:r>
            <w:proofErr w:type="spellEnd"/>
          </w:p>
        </w:tc>
        <w:tc>
          <w:tcPr>
            <w:tcW w:w="1944" w:type="dxa"/>
            <w:tcBorders>
              <w:top w:val="single" w:sz="4" w:space="0" w:color="auto"/>
              <w:left w:val="single" w:sz="4" w:space="0" w:color="auto"/>
              <w:bottom w:val="single" w:sz="4" w:space="0" w:color="auto"/>
              <w:right w:val="single" w:sz="4" w:space="0" w:color="auto"/>
            </w:tcBorders>
          </w:tcPr>
          <w:p w14:paraId="6F864A97"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3 meetings as Co-Chair</w:t>
            </w:r>
          </w:p>
          <w:p w14:paraId="0DE87460" w14:textId="77777777" w:rsidR="00695BCA" w:rsidRPr="00262D6A" w:rsidRDefault="00695BCA" w:rsidP="00797BC9">
            <w:pPr>
              <w:pStyle w:val="Tablebody"/>
              <w:spacing w:after="200"/>
              <w:rPr>
                <w:rFonts w:ascii="Arial" w:hAnsi="Arial"/>
                <w:sz w:val="16"/>
                <w:szCs w:val="16"/>
              </w:rPr>
            </w:pPr>
            <w:r w:rsidRPr="00262D6A">
              <w:rPr>
                <w:rFonts w:ascii="Arial" w:hAnsi="Arial"/>
                <w:sz w:val="16"/>
                <w:szCs w:val="16"/>
              </w:rPr>
              <w:t>7 additional sessions as co-chair (workshops, pre-briefings, additional work)</w:t>
            </w:r>
          </w:p>
          <w:p w14:paraId="6351850A"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 xml:space="preserve">2 meetings as a member </w:t>
            </w:r>
          </w:p>
          <w:p w14:paraId="7B338F32" w14:textId="7AC556D8" w:rsidR="00695BCA" w:rsidRPr="00262D6A" w:rsidRDefault="00695BCA" w:rsidP="00940A58">
            <w:pPr>
              <w:pStyle w:val="Tablebody"/>
              <w:spacing w:after="80"/>
              <w:rPr>
                <w:rFonts w:ascii="Arial" w:hAnsi="Arial"/>
                <w:sz w:val="16"/>
                <w:szCs w:val="16"/>
              </w:rPr>
            </w:pPr>
            <w:r w:rsidRPr="00262D6A">
              <w:rPr>
                <w:rFonts w:ascii="Arial" w:hAnsi="Arial"/>
                <w:sz w:val="16"/>
                <w:szCs w:val="16"/>
              </w:rPr>
              <w:lastRenderedPageBreak/>
              <w:t>6 additional sessions as a member (workshops, pre-briefings, additional work)</w:t>
            </w:r>
          </w:p>
        </w:tc>
        <w:tc>
          <w:tcPr>
            <w:tcW w:w="1482" w:type="dxa"/>
            <w:tcBorders>
              <w:top w:val="single" w:sz="4" w:space="0" w:color="auto"/>
              <w:left w:val="single" w:sz="4" w:space="0" w:color="auto"/>
              <w:bottom w:val="single" w:sz="4" w:space="0" w:color="auto"/>
              <w:right w:val="single" w:sz="4" w:space="0" w:color="auto"/>
            </w:tcBorders>
          </w:tcPr>
          <w:p w14:paraId="7963EB98" w14:textId="77777777" w:rsidR="00695BCA" w:rsidRPr="007E6DF6" w:rsidRDefault="00695BCA" w:rsidP="00695BCA">
            <w:pPr>
              <w:rPr>
                <w:rFonts w:ascii="Arial" w:hAnsi="Arial"/>
                <w:sz w:val="16"/>
                <w:szCs w:val="16"/>
              </w:rPr>
            </w:pPr>
            <w:r w:rsidRPr="007E6DF6">
              <w:rPr>
                <w:rFonts w:ascii="Arial" w:hAnsi="Arial"/>
                <w:sz w:val="16"/>
                <w:szCs w:val="16"/>
              </w:rPr>
              <w:lastRenderedPageBreak/>
              <w:t>$390.00 (Co-Chair fee)</w:t>
            </w:r>
          </w:p>
          <w:p w14:paraId="09522959" w14:textId="77777777" w:rsidR="00695BCA" w:rsidRPr="007E6DF6" w:rsidRDefault="00695BCA" w:rsidP="00695BCA">
            <w:pPr>
              <w:rPr>
                <w:rFonts w:ascii="Arial" w:hAnsi="Arial"/>
                <w:sz w:val="16"/>
                <w:szCs w:val="16"/>
              </w:rPr>
            </w:pPr>
            <w:r w:rsidRPr="007E6DF6">
              <w:rPr>
                <w:rFonts w:ascii="Arial" w:hAnsi="Arial"/>
                <w:sz w:val="16"/>
                <w:szCs w:val="16"/>
              </w:rPr>
              <w:t xml:space="preserve">$300.00 </w:t>
            </w:r>
          </w:p>
          <w:p w14:paraId="04096FB9" w14:textId="3008EA03" w:rsidR="00695BCA" w:rsidRPr="007E6DF6" w:rsidRDefault="00695BCA" w:rsidP="00695BCA">
            <w:pPr>
              <w:rPr>
                <w:rFonts w:ascii="Arial" w:hAnsi="Arial"/>
                <w:sz w:val="16"/>
                <w:szCs w:val="16"/>
              </w:rPr>
            </w:pPr>
            <w:r w:rsidRPr="007E6DF6">
              <w:rPr>
                <w:rFonts w:ascii="Arial" w:hAnsi="Arial"/>
                <w:sz w:val="16"/>
                <w:szCs w:val="16"/>
              </w:rPr>
              <w:t>50% fees if under 4 hours</w:t>
            </w:r>
          </w:p>
        </w:tc>
        <w:tc>
          <w:tcPr>
            <w:tcW w:w="1484" w:type="dxa"/>
            <w:tcBorders>
              <w:top w:val="single" w:sz="4" w:space="0" w:color="auto"/>
              <w:left w:val="single" w:sz="4" w:space="0" w:color="auto"/>
              <w:bottom w:val="single" w:sz="4" w:space="0" w:color="auto"/>
              <w:right w:val="single" w:sz="4" w:space="0" w:color="auto"/>
            </w:tcBorders>
          </w:tcPr>
          <w:p w14:paraId="790FB7BD" w14:textId="61065525"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4AFD6766" w14:textId="77777777" w:rsidR="00695BCA" w:rsidRPr="007E6DF6" w:rsidRDefault="00695BCA" w:rsidP="00695BCA">
            <w:pPr>
              <w:rPr>
                <w:rFonts w:ascii="Arial" w:hAnsi="Arial"/>
                <w:color w:val="000000"/>
                <w:sz w:val="16"/>
                <w:szCs w:val="16"/>
              </w:rPr>
            </w:pPr>
            <w:r w:rsidRPr="007E6DF6">
              <w:rPr>
                <w:rFonts w:ascii="Arial" w:hAnsi="Arial"/>
                <w:color w:val="000000"/>
                <w:sz w:val="16"/>
                <w:szCs w:val="16"/>
              </w:rPr>
              <w:t xml:space="preserve">$      4380.00 </w:t>
            </w:r>
          </w:p>
          <w:p w14:paraId="6B08BBF4" w14:textId="54ABE673" w:rsidR="00695BCA" w:rsidRPr="007E6DF6" w:rsidRDefault="00695BCA" w:rsidP="00695BCA">
            <w:pPr>
              <w:rPr>
                <w:rFonts w:ascii="Arial" w:hAnsi="Arial"/>
                <w:sz w:val="16"/>
                <w:szCs w:val="16"/>
              </w:rPr>
            </w:pPr>
          </w:p>
        </w:tc>
      </w:tr>
      <w:tr w:rsidR="00695BCA" w:rsidRPr="007E6DF6" w14:paraId="344C0192" w14:textId="77777777" w:rsidTr="00695BCA">
        <w:tc>
          <w:tcPr>
            <w:tcW w:w="1945" w:type="dxa"/>
            <w:tcBorders>
              <w:top w:val="single" w:sz="4" w:space="0" w:color="auto"/>
              <w:left w:val="single" w:sz="4" w:space="0" w:color="auto"/>
              <w:bottom w:val="single" w:sz="4" w:space="0" w:color="auto"/>
              <w:right w:val="single" w:sz="4" w:space="0" w:color="auto"/>
            </w:tcBorders>
          </w:tcPr>
          <w:p w14:paraId="406B7269" w14:textId="767490AA" w:rsidR="00695BCA" w:rsidRPr="007E6DF6" w:rsidRDefault="00695BCA" w:rsidP="00695BCA">
            <w:pPr>
              <w:rPr>
                <w:rFonts w:ascii="Arial" w:hAnsi="Arial"/>
                <w:sz w:val="17"/>
                <w:szCs w:val="17"/>
              </w:rPr>
            </w:pPr>
            <w:r w:rsidRPr="007E6DF6">
              <w:rPr>
                <w:rFonts w:ascii="Arial" w:hAnsi="Arial"/>
                <w:sz w:val="17"/>
                <w:szCs w:val="17"/>
              </w:rPr>
              <w:t>Member</w:t>
            </w:r>
          </w:p>
        </w:tc>
        <w:tc>
          <w:tcPr>
            <w:tcW w:w="1617" w:type="dxa"/>
            <w:tcBorders>
              <w:top w:val="single" w:sz="4" w:space="0" w:color="auto"/>
              <w:left w:val="single" w:sz="4" w:space="0" w:color="auto"/>
              <w:bottom w:val="single" w:sz="4" w:space="0" w:color="auto"/>
              <w:right w:val="single" w:sz="4" w:space="0" w:color="auto"/>
            </w:tcBorders>
          </w:tcPr>
          <w:p w14:paraId="7510F125" w14:textId="70DEB713" w:rsidR="00695BCA" w:rsidRPr="007E6DF6" w:rsidRDefault="00695BCA" w:rsidP="00695BCA">
            <w:pPr>
              <w:rPr>
                <w:rFonts w:ascii="Arial" w:hAnsi="Arial"/>
                <w:sz w:val="17"/>
                <w:szCs w:val="17"/>
              </w:rPr>
            </w:pPr>
            <w:r w:rsidRPr="007E6DF6">
              <w:rPr>
                <w:rFonts w:ascii="Arial" w:hAnsi="Arial"/>
                <w:sz w:val="17"/>
                <w:szCs w:val="17"/>
              </w:rPr>
              <w:t xml:space="preserve">Michelle </w:t>
            </w:r>
            <w:proofErr w:type="spellStart"/>
            <w:r w:rsidRPr="007E6DF6">
              <w:rPr>
                <w:rFonts w:ascii="Arial" w:hAnsi="Arial"/>
                <w:sz w:val="17"/>
                <w:szCs w:val="17"/>
              </w:rPr>
              <w:t>Deshong</w:t>
            </w:r>
            <w:proofErr w:type="spellEnd"/>
          </w:p>
        </w:tc>
        <w:tc>
          <w:tcPr>
            <w:tcW w:w="1944" w:type="dxa"/>
            <w:tcBorders>
              <w:top w:val="single" w:sz="4" w:space="0" w:color="auto"/>
              <w:left w:val="single" w:sz="4" w:space="0" w:color="auto"/>
              <w:bottom w:val="single" w:sz="4" w:space="0" w:color="auto"/>
              <w:right w:val="single" w:sz="4" w:space="0" w:color="auto"/>
            </w:tcBorders>
          </w:tcPr>
          <w:p w14:paraId="2B2254B5" w14:textId="77777777" w:rsidR="00695BCA" w:rsidRPr="00262D6A" w:rsidRDefault="00695BCA" w:rsidP="00695BCA">
            <w:pPr>
              <w:rPr>
                <w:rFonts w:ascii="Arial" w:hAnsi="Arial"/>
                <w:sz w:val="16"/>
                <w:szCs w:val="16"/>
              </w:rPr>
            </w:pPr>
            <w:r w:rsidRPr="00262D6A">
              <w:rPr>
                <w:rFonts w:ascii="Arial" w:hAnsi="Arial"/>
                <w:sz w:val="16"/>
                <w:szCs w:val="16"/>
              </w:rPr>
              <w:t>3 meetings as a member</w:t>
            </w:r>
          </w:p>
          <w:p w14:paraId="5F186085"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6 additional sessions as a member (workshops, pre-briefings, additional work)</w:t>
            </w:r>
          </w:p>
          <w:p w14:paraId="260011D4" w14:textId="7E3EF92A" w:rsidR="00695BCA" w:rsidRPr="00262D6A" w:rsidRDefault="00695BCA" w:rsidP="00695BCA">
            <w:pPr>
              <w:rPr>
                <w:rFonts w:ascii="Arial" w:hAnsi="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6BB8AF61" w14:textId="453BB412" w:rsidR="00695BCA" w:rsidRPr="007E6DF6" w:rsidRDefault="00695BCA" w:rsidP="00695BCA">
            <w:pPr>
              <w:rPr>
                <w:rFonts w:ascii="Arial" w:hAnsi="Arial"/>
                <w:sz w:val="16"/>
                <w:szCs w:val="16"/>
              </w:rPr>
            </w:pPr>
            <w:r w:rsidRPr="007E6DF6">
              <w:rPr>
                <w:rFonts w:ascii="Arial" w:hAnsi="Arial"/>
                <w:sz w:val="16"/>
                <w:szCs w:val="16"/>
              </w:rPr>
              <w:t>$300.00</w:t>
            </w:r>
          </w:p>
        </w:tc>
        <w:tc>
          <w:tcPr>
            <w:tcW w:w="1484" w:type="dxa"/>
            <w:tcBorders>
              <w:top w:val="single" w:sz="4" w:space="0" w:color="auto"/>
              <w:left w:val="single" w:sz="4" w:space="0" w:color="auto"/>
              <w:bottom w:val="single" w:sz="4" w:space="0" w:color="auto"/>
              <w:right w:val="single" w:sz="4" w:space="0" w:color="auto"/>
            </w:tcBorders>
          </w:tcPr>
          <w:p w14:paraId="272D1360" w14:textId="1E77E3A5"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7864E0E4" w14:textId="77777777" w:rsidR="00695BCA" w:rsidRPr="007E6DF6" w:rsidRDefault="00695BCA" w:rsidP="00695BCA">
            <w:pPr>
              <w:rPr>
                <w:rFonts w:ascii="Arial" w:hAnsi="Arial"/>
                <w:color w:val="000000"/>
                <w:sz w:val="16"/>
                <w:szCs w:val="16"/>
              </w:rPr>
            </w:pPr>
            <w:r w:rsidRPr="007E6DF6">
              <w:rPr>
                <w:rFonts w:ascii="Arial" w:hAnsi="Arial"/>
                <w:color w:val="000000"/>
                <w:sz w:val="16"/>
                <w:szCs w:val="16"/>
              </w:rPr>
              <w:t xml:space="preserve">$      1200.00 </w:t>
            </w:r>
          </w:p>
          <w:p w14:paraId="074D1C86" w14:textId="77777777" w:rsidR="00695BCA" w:rsidRPr="007E6DF6" w:rsidRDefault="00695BCA" w:rsidP="00695BCA">
            <w:pPr>
              <w:rPr>
                <w:rFonts w:ascii="Arial" w:hAnsi="Arial"/>
                <w:sz w:val="16"/>
                <w:szCs w:val="16"/>
              </w:rPr>
            </w:pPr>
          </w:p>
        </w:tc>
      </w:tr>
      <w:tr w:rsidR="00695BCA" w:rsidRPr="007E6DF6" w14:paraId="76FF9194" w14:textId="77777777" w:rsidTr="00695BCA">
        <w:tc>
          <w:tcPr>
            <w:tcW w:w="1945" w:type="dxa"/>
            <w:tcBorders>
              <w:top w:val="single" w:sz="4" w:space="0" w:color="auto"/>
              <w:left w:val="single" w:sz="4" w:space="0" w:color="auto"/>
              <w:bottom w:val="single" w:sz="4" w:space="0" w:color="auto"/>
              <w:right w:val="single" w:sz="4" w:space="0" w:color="auto"/>
            </w:tcBorders>
          </w:tcPr>
          <w:p w14:paraId="0C7975ED" w14:textId="5114949F" w:rsidR="00695BCA" w:rsidRPr="007E6DF6" w:rsidRDefault="00695BCA" w:rsidP="00695BCA">
            <w:pPr>
              <w:rPr>
                <w:rFonts w:ascii="Arial" w:hAnsi="Arial"/>
                <w:sz w:val="17"/>
                <w:szCs w:val="17"/>
              </w:rPr>
            </w:pPr>
            <w:r w:rsidRPr="007E6DF6">
              <w:rPr>
                <w:rFonts w:ascii="Arial" w:hAnsi="Arial"/>
                <w:sz w:val="17"/>
                <w:szCs w:val="17"/>
              </w:rPr>
              <w:t>Member</w:t>
            </w:r>
          </w:p>
        </w:tc>
        <w:tc>
          <w:tcPr>
            <w:tcW w:w="1617" w:type="dxa"/>
            <w:tcBorders>
              <w:top w:val="single" w:sz="4" w:space="0" w:color="auto"/>
              <w:left w:val="single" w:sz="4" w:space="0" w:color="auto"/>
              <w:bottom w:val="single" w:sz="4" w:space="0" w:color="auto"/>
              <w:right w:val="single" w:sz="4" w:space="0" w:color="auto"/>
            </w:tcBorders>
          </w:tcPr>
          <w:p w14:paraId="2AADBF65" w14:textId="1D96731A" w:rsidR="00695BCA" w:rsidRPr="007E6DF6" w:rsidRDefault="00695BCA" w:rsidP="00695BCA">
            <w:pPr>
              <w:rPr>
                <w:rFonts w:ascii="Arial" w:hAnsi="Arial"/>
                <w:sz w:val="17"/>
                <w:szCs w:val="17"/>
              </w:rPr>
            </w:pPr>
            <w:r w:rsidRPr="007E6DF6">
              <w:rPr>
                <w:rFonts w:ascii="Arial" w:hAnsi="Arial"/>
                <w:sz w:val="17"/>
                <w:szCs w:val="17"/>
              </w:rPr>
              <w:t xml:space="preserve">Susan </w:t>
            </w:r>
            <w:proofErr w:type="spellStart"/>
            <w:r w:rsidRPr="007E6DF6">
              <w:rPr>
                <w:rFonts w:ascii="Arial" w:hAnsi="Arial"/>
                <w:sz w:val="17"/>
                <w:szCs w:val="17"/>
              </w:rPr>
              <w:t>Sewter</w:t>
            </w:r>
            <w:proofErr w:type="spellEnd"/>
          </w:p>
        </w:tc>
        <w:tc>
          <w:tcPr>
            <w:tcW w:w="1944" w:type="dxa"/>
            <w:tcBorders>
              <w:top w:val="single" w:sz="4" w:space="0" w:color="auto"/>
              <w:left w:val="single" w:sz="4" w:space="0" w:color="auto"/>
              <w:bottom w:val="single" w:sz="4" w:space="0" w:color="auto"/>
              <w:right w:val="single" w:sz="4" w:space="0" w:color="auto"/>
            </w:tcBorders>
          </w:tcPr>
          <w:p w14:paraId="2FCA7008" w14:textId="77777777" w:rsidR="00695BCA" w:rsidRPr="00262D6A" w:rsidRDefault="00695BCA" w:rsidP="00695BCA">
            <w:pPr>
              <w:rPr>
                <w:rFonts w:ascii="Arial" w:hAnsi="Arial"/>
                <w:sz w:val="16"/>
                <w:szCs w:val="16"/>
              </w:rPr>
            </w:pPr>
            <w:r w:rsidRPr="00262D6A">
              <w:rPr>
                <w:rFonts w:ascii="Arial" w:hAnsi="Arial"/>
                <w:sz w:val="16"/>
                <w:szCs w:val="16"/>
              </w:rPr>
              <w:t>4 meetings as a member</w:t>
            </w:r>
          </w:p>
          <w:p w14:paraId="0438B69B" w14:textId="77777777" w:rsidR="00695BCA" w:rsidRPr="00262D6A" w:rsidRDefault="00695BCA" w:rsidP="00695BCA">
            <w:pPr>
              <w:pStyle w:val="Tablebody"/>
              <w:spacing w:after="80"/>
              <w:rPr>
                <w:rFonts w:ascii="Arial" w:hAnsi="Arial"/>
                <w:sz w:val="16"/>
                <w:szCs w:val="16"/>
              </w:rPr>
            </w:pPr>
            <w:r w:rsidRPr="00262D6A">
              <w:rPr>
                <w:rFonts w:ascii="Arial" w:hAnsi="Arial"/>
                <w:sz w:val="16"/>
                <w:szCs w:val="16"/>
              </w:rPr>
              <w:t>6 additional sessions as a member (workshops, pre-briefings, additional work)</w:t>
            </w:r>
          </w:p>
          <w:p w14:paraId="6694454E" w14:textId="77777777" w:rsidR="00695BCA" w:rsidRPr="00262D6A" w:rsidRDefault="00695BCA" w:rsidP="00695BCA">
            <w:pPr>
              <w:rPr>
                <w:rFonts w:ascii="Arial" w:hAnsi="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6133A357" w14:textId="0EC207AB" w:rsidR="00695BCA" w:rsidRPr="007E6DF6" w:rsidRDefault="00695BCA" w:rsidP="00695BCA">
            <w:pPr>
              <w:rPr>
                <w:rFonts w:ascii="Arial" w:hAnsi="Arial"/>
                <w:sz w:val="16"/>
                <w:szCs w:val="16"/>
              </w:rPr>
            </w:pPr>
            <w:r w:rsidRPr="007E6DF6">
              <w:rPr>
                <w:rFonts w:ascii="Arial" w:hAnsi="Arial"/>
                <w:sz w:val="16"/>
                <w:szCs w:val="16"/>
              </w:rPr>
              <w:t>$300.00</w:t>
            </w:r>
          </w:p>
        </w:tc>
        <w:tc>
          <w:tcPr>
            <w:tcW w:w="1484" w:type="dxa"/>
            <w:tcBorders>
              <w:top w:val="single" w:sz="4" w:space="0" w:color="auto"/>
              <w:left w:val="single" w:sz="4" w:space="0" w:color="auto"/>
              <w:bottom w:val="single" w:sz="4" w:space="0" w:color="auto"/>
              <w:right w:val="single" w:sz="4" w:space="0" w:color="auto"/>
            </w:tcBorders>
          </w:tcPr>
          <w:p w14:paraId="150E30ED" w14:textId="44ACD6CE"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35B972B4" w14:textId="77777777" w:rsidR="00695BCA" w:rsidRPr="007E6DF6" w:rsidRDefault="00695BCA" w:rsidP="00695BCA">
            <w:pPr>
              <w:rPr>
                <w:rFonts w:ascii="Arial" w:hAnsi="Arial"/>
                <w:color w:val="000000"/>
                <w:sz w:val="16"/>
                <w:szCs w:val="16"/>
              </w:rPr>
            </w:pPr>
            <w:r w:rsidRPr="007E6DF6">
              <w:rPr>
                <w:rFonts w:ascii="Arial" w:hAnsi="Arial"/>
                <w:color w:val="000000"/>
                <w:sz w:val="16"/>
                <w:szCs w:val="16"/>
              </w:rPr>
              <w:t xml:space="preserve">$     2100.00 </w:t>
            </w:r>
          </w:p>
          <w:p w14:paraId="5C77B249" w14:textId="77777777" w:rsidR="00695BCA" w:rsidRPr="007E6DF6" w:rsidRDefault="00695BCA" w:rsidP="00695BCA">
            <w:pPr>
              <w:rPr>
                <w:rFonts w:ascii="Arial" w:hAnsi="Arial"/>
                <w:sz w:val="16"/>
                <w:szCs w:val="16"/>
              </w:rPr>
            </w:pPr>
          </w:p>
        </w:tc>
      </w:tr>
      <w:tr w:rsidR="00695BCA" w:rsidRPr="007E6DF6" w14:paraId="2FE19601" w14:textId="77777777" w:rsidTr="00695BCA">
        <w:tc>
          <w:tcPr>
            <w:tcW w:w="1945" w:type="dxa"/>
            <w:tcBorders>
              <w:top w:val="single" w:sz="4" w:space="0" w:color="auto"/>
              <w:left w:val="single" w:sz="4" w:space="0" w:color="auto"/>
              <w:bottom w:val="single" w:sz="4" w:space="0" w:color="auto"/>
              <w:right w:val="single" w:sz="4" w:space="0" w:color="auto"/>
            </w:tcBorders>
          </w:tcPr>
          <w:p w14:paraId="2A8DA2BA" w14:textId="26724360" w:rsidR="00695BCA" w:rsidRPr="007E6DF6" w:rsidRDefault="00695BCA" w:rsidP="00695BCA">
            <w:pPr>
              <w:rPr>
                <w:rFonts w:ascii="Arial" w:hAnsi="Arial"/>
                <w:sz w:val="17"/>
                <w:szCs w:val="17"/>
              </w:rPr>
            </w:pPr>
            <w:r w:rsidRPr="007E6DF6">
              <w:rPr>
                <w:rFonts w:ascii="Arial" w:hAnsi="Arial"/>
                <w:sz w:val="17"/>
                <w:szCs w:val="17"/>
              </w:rPr>
              <w:t>Member</w:t>
            </w:r>
          </w:p>
        </w:tc>
        <w:tc>
          <w:tcPr>
            <w:tcW w:w="1617" w:type="dxa"/>
            <w:tcBorders>
              <w:top w:val="single" w:sz="4" w:space="0" w:color="auto"/>
              <w:left w:val="single" w:sz="4" w:space="0" w:color="auto"/>
              <w:bottom w:val="single" w:sz="4" w:space="0" w:color="auto"/>
              <w:right w:val="single" w:sz="4" w:space="0" w:color="auto"/>
            </w:tcBorders>
          </w:tcPr>
          <w:p w14:paraId="16A872BE" w14:textId="088F8781" w:rsidR="00695BCA" w:rsidRPr="007E6DF6" w:rsidRDefault="00695BCA" w:rsidP="00695BCA">
            <w:pPr>
              <w:rPr>
                <w:rFonts w:ascii="Arial" w:hAnsi="Arial"/>
                <w:sz w:val="17"/>
                <w:szCs w:val="17"/>
              </w:rPr>
            </w:pPr>
            <w:r w:rsidRPr="007E6DF6">
              <w:rPr>
                <w:rFonts w:ascii="Arial" w:hAnsi="Arial"/>
                <w:sz w:val="17"/>
                <w:szCs w:val="17"/>
              </w:rPr>
              <w:t>Michael Bond</w:t>
            </w:r>
          </w:p>
        </w:tc>
        <w:tc>
          <w:tcPr>
            <w:tcW w:w="1944" w:type="dxa"/>
            <w:tcBorders>
              <w:top w:val="single" w:sz="4" w:space="0" w:color="auto"/>
              <w:left w:val="single" w:sz="4" w:space="0" w:color="auto"/>
              <w:bottom w:val="single" w:sz="4" w:space="0" w:color="auto"/>
              <w:right w:val="single" w:sz="4" w:space="0" w:color="auto"/>
            </w:tcBorders>
          </w:tcPr>
          <w:p w14:paraId="054E1A3D" w14:textId="77777777" w:rsidR="00695BCA" w:rsidRPr="007E6DF6" w:rsidRDefault="00695BCA" w:rsidP="00695BCA">
            <w:pPr>
              <w:pStyle w:val="Tablebody"/>
              <w:spacing w:after="80"/>
              <w:rPr>
                <w:rFonts w:ascii="Arial" w:hAnsi="Arial"/>
                <w:sz w:val="16"/>
                <w:szCs w:val="16"/>
              </w:rPr>
            </w:pPr>
            <w:r w:rsidRPr="007E6DF6">
              <w:rPr>
                <w:rFonts w:ascii="Arial" w:hAnsi="Arial"/>
                <w:sz w:val="16"/>
                <w:szCs w:val="16"/>
              </w:rPr>
              <w:t xml:space="preserve">6 meetings as a member </w:t>
            </w:r>
          </w:p>
          <w:p w14:paraId="66A0051F" w14:textId="010EE672" w:rsidR="00695BCA" w:rsidRPr="007E6DF6" w:rsidRDefault="00695BCA" w:rsidP="00695BCA">
            <w:pPr>
              <w:pStyle w:val="Tablebody"/>
              <w:spacing w:after="80"/>
              <w:rPr>
                <w:rFonts w:ascii="Arial" w:hAnsi="Arial"/>
                <w:sz w:val="16"/>
                <w:szCs w:val="16"/>
              </w:rPr>
            </w:pPr>
            <w:r w:rsidRPr="007E6DF6">
              <w:rPr>
                <w:rFonts w:ascii="Arial" w:hAnsi="Arial"/>
                <w:sz w:val="16"/>
                <w:szCs w:val="16"/>
              </w:rPr>
              <w:t>7 additional sessions as a member (workshops, pre-briefings, additional work)</w:t>
            </w:r>
          </w:p>
          <w:p w14:paraId="5746AD34" w14:textId="77777777" w:rsidR="00695BCA" w:rsidRPr="007E6DF6" w:rsidRDefault="00695BCA" w:rsidP="00695BCA">
            <w:pPr>
              <w:rPr>
                <w:rFonts w:ascii="Arial" w:hAnsi="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4D6F76FC" w14:textId="23F166F5" w:rsidR="00695BCA" w:rsidRPr="007E6DF6" w:rsidRDefault="00695BCA" w:rsidP="00695BCA">
            <w:pPr>
              <w:rPr>
                <w:rFonts w:ascii="Arial" w:hAnsi="Arial"/>
                <w:sz w:val="16"/>
                <w:szCs w:val="16"/>
              </w:rPr>
            </w:pPr>
            <w:r w:rsidRPr="007E6DF6">
              <w:rPr>
                <w:rFonts w:ascii="Arial" w:hAnsi="Arial"/>
                <w:sz w:val="16"/>
                <w:szCs w:val="16"/>
              </w:rPr>
              <w:t>$300.00</w:t>
            </w:r>
          </w:p>
        </w:tc>
        <w:tc>
          <w:tcPr>
            <w:tcW w:w="1484" w:type="dxa"/>
            <w:tcBorders>
              <w:top w:val="single" w:sz="4" w:space="0" w:color="auto"/>
              <w:left w:val="single" w:sz="4" w:space="0" w:color="auto"/>
              <w:bottom w:val="single" w:sz="4" w:space="0" w:color="auto"/>
              <w:right w:val="single" w:sz="4" w:space="0" w:color="auto"/>
            </w:tcBorders>
          </w:tcPr>
          <w:p w14:paraId="48348C3F" w14:textId="7F077FAB"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5DB9CBF0" w14:textId="77777777" w:rsidR="00695BCA" w:rsidRPr="007E6DF6" w:rsidRDefault="00695BCA" w:rsidP="00695BCA">
            <w:pPr>
              <w:rPr>
                <w:rFonts w:ascii="Arial" w:hAnsi="Arial"/>
                <w:color w:val="000000"/>
                <w:sz w:val="16"/>
                <w:szCs w:val="16"/>
              </w:rPr>
            </w:pPr>
            <w:r w:rsidRPr="007E6DF6">
              <w:rPr>
                <w:rFonts w:ascii="Arial" w:hAnsi="Arial"/>
                <w:color w:val="000000"/>
                <w:sz w:val="16"/>
                <w:szCs w:val="16"/>
              </w:rPr>
              <w:t>$     3750.00</w:t>
            </w:r>
          </w:p>
          <w:p w14:paraId="22F5198A" w14:textId="77777777" w:rsidR="00695BCA" w:rsidRPr="007E6DF6" w:rsidRDefault="00695BCA" w:rsidP="00695BCA">
            <w:pPr>
              <w:rPr>
                <w:rFonts w:ascii="Arial" w:hAnsi="Arial"/>
                <w:sz w:val="16"/>
                <w:szCs w:val="16"/>
              </w:rPr>
            </w:pPr>
          </w:p>
        </w:tc>
      </w:tr>
      <w:tr w:rsidR="00695BCA" w:rsidRPr="007E6DF6" w14:paraId="22BAEBDE" w14:textId="77777777" w:rsidTr="00695BCA">
        <w:tc>
          <w:tcPr>
            <w:tcW w:w="1945" w:type="dxa"/>
            <w:tcBorders>
              <w:top w:val="single" w:sz="4" w:space="0" w:color="auto"/>
              <w:left w:val="single" w:sz="4" w:space="0" w:color="auto"/>
              <w:bottom w:val="single" w:sz="4" w:space="0" w:color="auto"/>
              <w:right w:val="single" w:sz="4" w:space="0" w:color="auto"/>
            </w:tcBorders>
          </w:tcPr>
          <w:p w14:paraId="7FB112FB" w14:textId="3BD1AA1A"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75778135" w14:textId="77777777" w:rsidR="00695BCA" w:rsidRPr="007E6DF6" w:rsidRDefault="00695BCA" w:rsidP="00695BCA">
            <w:pPr>
              <w:rPr>
                <w:rFonts w:ascii="Arial" w:hAnsi="Arial"/>
                <w:sz w:val="17"/>
                <w:szCs w:val="17"/>
              </w:rPr>
            </w:pPr>
            <w:r w:rsidRPr="007E6DF6">
              <w:rPr>
                <w:rFonts w:ascii="Arial" w:hAnsi="Arial"/>
                <w:sz w:val="17"/>
                <w:szCs w:val="17"/>
              </w:rPr>
              <w:t>Deputy Director-General</w:t>
            </w:r>
          </w:p>
          <w:p w14:paraId="04A4BF53" w14:textId="77777777" w:rsidR="00695BCA" w:rsidRPr="007E6DF6" w:rsidRDefault="00695BCA" w:rsidP="00695BCA">
            <w:pPr>
              <w:rPr>
                <w:rFonts w:ascii="Arial" w:hAnsi="Arial"/>
                <w:sz w:val="17"/>
                <w:szCs w:val="17"/>
              </w:rPr>
            </w:pPr>
            <w:r w:rsidRPr="007E6DF6">
              <w:rPr>
                <w:rFonts w:ascii="Arial" w:hAnsi="Arial"/>
                <w:sz w:val="17"/>
                <w:szCs w:val="17"/>
              </w:rPr>
              <w:t>Department of Education (or proxy)</w:t>
            </w:r>
          </w:p>
          <w:p w14:paraId="473219E6" w14:textId="356AD782" w:rsidR="00695BCA" w:rsidRPr="007E6DF6" w:rsidRDefault="00695BCA" w:rsidP="00695BCA">
            <w:pPr>
              <w:rPr>
                <w:rFonts w:ascii="Arial" w:hAnsi="Arial"/>
                <w:sz w:val="17"/>
                <w:szCs w:val="17"/>
              </w:rPr>
            </w:pPr>
          </w:p>
        </w:tc>
        <w:tc>
          <w:tcPr>
            <w:tcW w:w="1944" w:type="dxa"/>
            <w:tcBorders>
              <w:top w:val="single" w:sz="4" w:space="0" w:color="auto"/>
              <w:left w:val="single" w:sz="4" w:space="0" w:color="auto"/>
              <w:bottom w:val="single" w:sz="4" w:space="0" w:color="auto"/>
              <w:right w:val="single" w:sz="4" w:space="0" w:color="auto"/>
            </w:tcBorders>
          </w:tcPr>
          <w:p w14:paraId="681869FD" w14:textId="3F4C8A60" w:rsidR="00695BCA" w:rsidRPr="007E6DF6" w:rsidRDefault="00695BCA" w:rsidP="00695BCA">
            <w:pPr>
              <w:rPr>
                <w:rFonts w:ascii="Arial" w:hAnsi="Arial"/>
                <w:sz w:val="16"/>
                <w:szCs w:val="16"/>
              </w:rPr>
            </w:pPr>
            <w:r w:rsidRPr="007E6DF6">
              <w:rPr>
                <w:rFonts w:ascii="Arial" w:hAnsi="Arial"/>
                <w:sz w:val="16"/>
                <w:szCs w:val="16"/>
              </w:rPr>
              <w:t>6</w:t>
            </w:r>
          </w:p>
        </w:tc>
        <w:tc>
          <w:tcPr>
            <w:tcW w:w="1482" w:type="dxa"/>
            <w:tcBorders>
              <w:top w:val="single" w:sz="4" w:space="0" w:color="auto"/>
              <w:left w:val="single" w:sz="4" w:space="0" w:color="auto"/>
              <w:bottom w:val="single" w:sz="4" w:space="0" w:color="auto"/>
              <w:right w:val="single" w:sz="4" w:space="0" w:color="auto"/>
            </w:tcBorders>
          </w:tcPr>
          <w:p w14:paraId="0BA6FC29" w14:textId="766559B1"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20245DEE" w14:textId="292ECCD2"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2E342D4F" w14:textId="03744EF6"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4AB9059E" w14:textId="77777777" w:rsidTr="00695BCA">
        <w:tc>
          <w:tcPr>
            <w:tcW w:w="1945" w:type="dxa"/>
            <w:tcBorders>
              <w:top w:val="single" w:sz="4" w:space="0" w:color="auto"/>
              <w:left w:val="single" w:sz="4" w:space="0" w:color="auto"/>
              <w:bottom w:val="single" w:sz="4" w:space="0" w:color="auto"/>
              <w:right w:val="single" w:sz="4" w:space="0" w:color="auto"/>
            </w:tcBorders>
          </w:tcPr>
          <w:p w14:paraId="37E735C0" w14:textId="2005EF76"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1EC04F45" w14:textId="77777777" w:rsidR="00695BCA" w:rsidRPr="007E6DF6" w:rsidRDefault="00695BCA" w:rsidP="00695BCA">
            <w:pPr>
              <w:rPr>
                <w:rFonts w:ascii="Arial" w:hAnsi="Arial"/>
                <w:sz w:val="17"/>
                <w:szCs w:val="17"/>
              </w:rPr>
            </w:pPr>
            <w:r w:rsidRPr="007E6DF6">
              <w:rPr>
                <w:rFonts w:ascii="Arial" w:hAnsi="Arial"/>
                <w:sz w:val="17"/>
                <w:szCs w:val="17"/>
              </w:rPr>
              <w:t>Deputy Director-General, Strategy</w:t>
            </w:r>
          </w:p>
          <w:p w14:paraId="3C05D68D" w14:textId="52ADD5E5" w:rsidR="00695BCA" w:rsidRPr="007E6DF6" w:rsidRDefault="00695BCA" w:rsidP="00695BCA">
            <w:pPr>
              <w:rPr>
                <w:rFonts w:ascii="Arial" w:hAnsi="Arial"/>
                <w:sz w:val="17"/>
                <w:szCs w:val="17"/>
              </w:rPr>
            </w:pPr>
            <w:r w:rsidRPr="007E6DF6">
              <w:rPr>
                <w:rFonts w:ascii="Arial" w:hAnsi="Arial"/>
                <w:sz w:val="17"/>
                <w:szCs w:val="17"/>
              </w:rPr>
              <w:t>Department of Children, Youth Justice and Multicultural Affairs (or proxy)</w:t>
            </w:r>
          </w:p>
        </w:tc>
        <w:tc>
          <w:tcPr>
            <w:tcW w:w="1944" w:type="dxa"/>
            <w:tcBorders>
              <w:top w:val="single" w:sz="4" w:space="0" w:color="auto"/>
              <w:left w:val="single" w:sz="4" w:space="0" w:color="auto"/>
              <w:bottom w:val="single" w:sz="4" w:space="0" w:color="auto"/>
              <w:right w:val="single" w:sz="4" w:space="0" w:color="auto"/>
            </w:tcBorders>
          </w:tcPr>
          <w:p w14:paraId="4704BADC" w14:textId="71F38522" w:rsidR="00695BCA" w:rsidRPr="007E6DF6" w:rsidRDefault="00695BCA" w:rsidP="00695BCA">
            <w:pPr>
              <w:rPr>
                <w:rFonts w:ascii="Arial" w:hAnsi="Arial"/>
                <w:sz w:val="16"/>
                <w:szCs w:val="16"/>
              </w:rPr>
            </w:pPr>
            <w:r w:rsidRPr="007E6DF6">
              <w:rPr>
                <w:rFonts w:ascii="Arial" w:hAnsi="Arial"/>
                <w:sz w:val="16"/>
                <w:szCs w:val="16"/>
              </w:rPr>
              <w:t>4</w:t>
            </w:r>
          </w:p>
        </w:tc>
        <w:tc>
          <w:tcPr>
            <w:tcW w:w="1482" w:type="dxa"/>
            <w:tcBorders>
              <w:top w:val="single" w:sz="4" w:space="0" w:color="auto"/>
              <w:left w:val="single" w:sz="4" w:space="0" w:color="auto"/>
              <w:bottom w:val="single" w:sz="4" w:space="0" w:color="auto"/>
              <w:right w:val="single" w:sz="4" w:space="0" w:color="auto"/>
            </w:tcBorders>
          </w:tcPr>
          <w:p w14:paraId="1B816962" w14:textId="26476C7A"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4EB497D0" w14:textId="1D19595E"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0130DDC8" w14:textId="708624D7"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6A01530F" w14:textId="77777777" w:rsidTr="00695BCA">
        <w:tc>
          <w:tcPr>
            <w:tcW w:w="1945" w:type="dxa"/>
            <w:tcBorders>
              <w:top w:val="single" w:sz="4" w:space="0" w:color="auto"/>
              <w:left w:val="single" w:sz="4" w:space="0" w:color="auto"/>
              <w:bottom w:val="single" w:sz="4" w:space="0" w:color="auto"/>
              <w:right w:val="single" w:sz="4" w:space="0" w:color="auto"/>
            </w:tcBorders>
          </w:tcPr>
          <w:p w14:paraId="58585EF6" w14:textId="65404710"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6DF30D7F" w14:textId="77777777" w:rsidR="00695BCA" w:rsidRPr="007E6DF6" w:rsidRDefault="00695BCA" w:rsidP="00695BCA">
            <w:pPr>
              <w:rPr>
                <w:rFonts w:ascii="Arial" w:hAnsi="Arial"/>
                <w:sz w:val="17"/>
                <w:szCs w:val="17"/>
              </w:rPr>
            </w:pPr>
            <w:r w:rsidRPr="007E6DF6">
              <w:rPr>
                <w:rFonts w:ascii="Arial" w:hAnsi="Arial"/>
                <w:sz w:val="17"/>
                <w:szCs w:val="17"/>
              </w:rPr>
              <w:t>Assistant Commissioner, Southern Region</w:t>
            </w:r>
          </w:p>
          <w:p w14:paraId="513FF209" w14:textId="2059B56D" w:rsidR="00695BCA" w:rsidRPr="007E6DF6" w:rsidRDefault="00695BCA" w:rsidP="00695BCA">
            <w:pPr>
              <w:rPr>
                <w:rFonts w:ascii="Arial" w:hAnsi="Arial"/>
                <w:sz w:val="17"/>
                <w:szCs w:val="17"/>
              </w:rPr>
            </w:pPr>
            <w:r w:rsidRPr="007E6DF6">
              <w:rPr>
                <w:rFonts w:ascii="Arial" w:hAnsi="Arial"/>
                <w:sz w:val="17"/>
                <w:szCs w:val="17"/>
              </w:rPr>
              <w:t>Queensland Police Service (or proxy)</w:t>
            </w:r>
          </w:p>
        </w:tc>
        <w:tc>
          <w:tcPr>
            <w:tcW w:w="1944" w:type="dxa"/>
            <w:tcBorders>
              <w:top w:val="single" w:sz="4" w:space="0" w:color="auto"/>
              <w:left w:val="single" w:sz="4" w:space="0" w:color="auto"/>
              <w:bottom w:val="single" w:sz="4" w:space="0" w:color="auto"/>
              <w:right w:val="single" w:sz="4" w:space="0" w:color="auto"/>
            </w:tcBorders>
          </w:tcPr>
          <w:p w14:paraId="1D3527FA" w14:textId="2C91ECD7" w:rsidR="00695BCA" w:rsidRPr="007E6DF6" w:rsidRDefault="00695BCA" w:rsidP="00695BCA">
            <w:pPr>
              <w:rPr>
                <w:rFonts w:ascii="Arial" w:hAnsi="Arial"/>
                <w:sz w:val="16"/>
                <w:szCs w:val="16"/>
              </w:rPr>
            </w:pPr>
            <w:r w:rsidRPr="007E6DF6">
              <w:rPr>
                <w:rFonts w:ascii="Arial" w:hAnsi="Arial"/>
                <w:sz w:val="16"/>
                <w:szCs w:val="16"/>
              </w:rPr>
              <w:t>6</w:t>
            </w:r>
          </w:p>
        </w:tc>
        <w:tc>
          <w:tcPr>
            <w:tcW w:w="1482" w:type="dxa"/>
            <w:tcBorders>
              <w:top w:val="single" w:sz="4" w:space="0" w:color="auto"/>
              <w:left w:val="single" w:sz="4" w:space="0" w:color="auto"/>
              <w:bottom w:val="single" w:sz="4" w:space="0" w:color="auto"/>
              <w:right w:val="single" w:sz="4" w:space="0" w:color="auto"/>
            </w:tcBorders>
          </w:tcPr>
          <w:p w14:paraId="1B4B5A18" w14:textId="7537D090"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34CC0E01" w14:textId="79492A0E"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13421A8D" w14:textId="06DF6422"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41DA90DD" w14:textId="77777777" w:rsidTr="00695BCA">
        <w:tc>
          <w:tcPr>
            <w:tcW w:w="1945" w:type="dxa"/>
            <w:tcBorders>
              <w:top w:val="single" w:sz="4" w:space="0" w:color="auto"/>
              <w:left w:val="single" w:sz="4" w:space="0" w:color="auto"/>
              <w:bottom w:val="single" w:sz="4" w:space="0" w:color="auto"/>
              <w:right w:val="single" w:sz="4" w:space="0" w:color="auto"/>
            </w:tcBorders>
          </w:tcPr>
          <w:p w14:paraId="56798B45" w14:textId="4311285F"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04468AF3" w14:textId="77777777" w:rsidR="00695BCA" w:rsidRPr="007E6DF6" w:rsidRDefault="00695BCA" w:rsidP="00695BCA">
            <w:pPr>
              <w:rPr>
                <w:rFonts w:ascii="Arial" w:hAnsi="Arial"/>
                <w:sz w:val="17"/>
                <w:szCs w:val="17"/>
              </w:rPr>
            </w:pPr>
            <w:r w:rsidRPr="007E6DF6">
              <w:rPr>
                <w:rFonts w:ascii="Arial" w:hAnsi="Arial"/>
                <w:sz w:val="17"/>
                <w:szCs w:val="17"/>
              </w:rPr>
              <w:t>Deputy Director-General and Chief Aboriginal and Torres Strait Islander Health Officer,</w:t>
            </w:r>
          </w:p>
          <w:p w14:paraId="0FE0C989" w14:textId="214D35DD" w:rsidR="00695BCA" w:rsidRPr="007E6DF6" w:rsidRDefault="00695BCA" w:rsidP="00695BCA">
            <w:pPr>
              <w:rPr>
                <w:rFonts w:ascii="Arial" w:hAnsi="Arial"/>
                <w:sz w:val="17"/>
                <w:szCs w:val="17"/>
              </w:rPr>
            </w:pPr>
            <w:r w:rsidRPr="007E6DF6">
              <w:rPr>
                <w:rFonts w:ascii="Arial" w:hAnsi="Arial"/>
                <w:sz w:val="17"/>
                <w:szCs w:val="17"/>
              </w:rPr>
              <w:t>Queensland Health (or proxy)</w:t>
            </w:r>
          </w:p>
        </w:tc>
        <w:tc>
          <w:tcPr>
            <w:tcW w:w="1944" w:type="dxa"/>
            <w:tcBorders>
              <w:top w:val="single" w:sz="4" w:space="0" w:color="auto"/>
              <w:left w:val="single" w:sz="4" w:space="0" w:color="auto"/>
              <w:bottom w:val="single" w:sz="4" w:space="0" w:color="auto"/>
              <w:right w:val="single" w:sz="4" w:space="0" w:color="auto"/>
            </w:tcBorders>
          </w:tcPr>
          <w:p w14:paraId="3DA03CB9" w14:textId="2A1831DC" w:rsidR="00695BCA" w:rsidRPr="007E6DF6" w:rsidRDefault="00695BCA" w:rsidP="00695BCA">
            <w:pPr>
              <w:rPr>
                <w:rFonts w:ascii="Arial" w:hAnsi="Arial"/>
                <w:sz w:val="16"/>
                <w:szCs w:val="16"/>
              </w:rPr>
            </w:pPr>
            <w:r w:rsidRPr="007E6DF6">
              <w:rPr>
                <w:rFonts w:ascii="Arial" w:hAnsi="Arial"/>
                <w:sz w:val="16"/>
                <w:szCs w:val="16"/>
              </w:rPr>
              <w:t>6</w:t>
            </w:r>
          </w:p>
        </w:tc>
        <w:tc>
          <w:tcPr>
            <w:tcW w:w="1482" w:type="dxa"/>
            <w:tcBorders>
              <w:top w:val="single" w:sz="4" w:space="0" w:color="auto"/>
              <w:left w:val="single" w:sz="4" w:space="0" w:color="auto"/>
              <w:bottom w:val="single" w:sz="4" w:space="0" w:color="auto"/>
              <w:right w:val="single" w:sz="4" w:space="0" w:color="auto"/>
            </w:tcBorders>
          </w:tcPr>
          <w:p w14:paraId="474668A3" w14:textId="7D3D7ED7"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7329107A" w14:textId="3B37E79B"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0969FB4E" w14:textId="6ABCF58E"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5D01596E" w14:textId="77777777" w:rsidTr="00695BCA">
        <w:tc>
          <w:tcPr>
            <w:tcW w:w="1945" w:type="dxa"/>
            <w:tcBorders>
              <w:top w:val="single" w:sz="4" w:space="0" w:color="auto"/>
              <w:left w:val="single" w:sz="4" w:space="0" w:color="auto"/>
              <w:bottom w:val="single" w:sz="4" w:space="0" w:color="auto"/>
              <w:right w:val="single" w:sz="4" w:space="0" w:color="auto"/>
            </w:tcBorders>
          </w:tcPr>
          <w:p w14:paraId="5335AFD6" w14:textId="6E253707"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24BCFDB5" w14:textId="77777777" w:rsidR="00695BCA" w:rsidRPr="007E6DF6" w:rsidRDefault="00695BCA" w:rsidP="00695BCA">
            <w:pPr>
              <w:rPr>
                <w:rFonts w:ascii="Arial" w:hAnsi="Arial"/>
                <w:sz w:val="17"/>
                <w:szCs w:val="17"/>
              </w:rPr>
            </w:pPr>
            <w:r w:rsidRPr="007E6DF6">
              <w:rPr>
                <w:rFonts w:ascii="Arial" w:hAnsi="Arial"/>
                <w:sz w:val="17"/>
                <w:szCs w:val="17"/>
              </w:rPr>
              <w:t>Deputy Director-General</w:t>
            </w:r>
          </w:p>
          <w:p w14:paraId="4DA78566" w14:textId="015DCD78" w:rsidR="00695BCA" w:rsidRPr="007E6DF6" w:rsidRDefault="00695BCA" w:rsidP="00695BCA">
            <w:pPr>
              <w:rPr>
                <w:rFonts w:ascii="Arial" w:hAnsi="Arial"/>
                <w:sz w:val="17"/>
                <w:szCs w:val="17"/>
              </w:rPr>
            </w:pPr>
            <w:r w:rsidRPr="007E6DF6">
              <w:rPr>
                <w:rFonts w:ascii="Arial" w:hAnsi="Arial"/>
                <w:sz w:val="17"/>
                <w:szCs w:val="17"/>
              </w:rPr>
              <w:lastRenderedPageBreak/>
              <w:t>Department of Communities, Housing and Digital Economy (or proxy)</w:t>
            </w:r>
          </w:p>
        </w:tc>
        <w:tc>
          <w:tcPr>
            <w:tcW w:w="1944" w:type="dxa"/>
            <w:tcBorders>
              <w:top w:val="single" w:sz="4" w:space="0" w:color="auto"/>
              <w:left w:val="single" w:sz="4" w:space="0" w:color="auto"/>
              <w:bottom w:val="single" w:sz="4" w:space="0" w:color="auto"/>
              <w:right w:val="single" w:sz="4" w:space="0" w:color="auto"/>
            </w:tcBorders>
          </w:tcPr>
          <w:p w14:paraId="2EB58009" w14:textId="06A0175D" w:rsidR="00695BCA" w:rsidRPr="007E6DF6" w:rsidRDefault="00695BCA" w:rsidP="00695BCA">
            <w:pPr>
              <w:rPr>
                <w:rFonts w:ascii="Arial" w:hAnsi="Arial"/>
                <w:sz w:val="16"/>
                <w:szCs w:val="16"/>
              </w:rPr>
            </w:pPr>
            <w:r w:rsidRPr="007E6DF6">
              <w:rPr>
                <w:rFonts w:ascii="Arial" w:hAnsi="Arial"/>
                <w:sz w:val="16"/>
                <w:szCs w:val="16"/>
              </w:rPr>
              <w:lastRenderedPageBreak/>
              <w:t>5</w:t>
            </w:r>
          </w:p>
        </w:tc>
        <w:tc>
          <w:tcPr>
            <w:tcW w:w="1482" w:type="dxa"/>
            <w:tcBorders>
              <w:top w:val="single" w:sz="4" w:space="0" w:color="auto"/>
              <w:left w:val="single" w:sz="4" w:space="0" w:color="auto"/>
              <w:bottom w:val="single" w:sz="4" w:space="0" w:color="auto"/>
              <w:right w:val="single" w:sz="4" w:space="0" w:color="auto"/>
            </w:tcBorders>
          </w:tcPr>
          <w:p w14:paraId="03FD94EB" w14:textId="46AD090D"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32469EF7" w14:textId="77411AE2"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5A4D27EB" w14:textId="17B144EB"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5DF5E13F" w14:textId="77777777" w:rsidTr="00695BCA">
        <w:tc>
          <w:tcPr>
            <w:tcW w:w="1945" w:type="dxa"/>
            <w:tcBorders>
              <w:top w:val="single" w:sz="4" w:space="0" w:color="auto"/>
              <w:left w:val="single" w:sz="4" w:space="0" w:color="auto"/>
              <w:bottom w:val="single" w:sz="4" w:space="0" w:color="auto"/>
              <w:right w:val="single" w:sz="4" w:space="0" w:color="auto"/>
            </w:tcBorders>
          </w:tcPr>
          <w:p w14:paraId="778037D8" w14:textId="06ADA5BE"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4EBC309B" w14:textId="77777777" w:rsidR="00695BCA" w:rsidRPr="007E6DF6" w:rsidRDefault="00695BCA" w:rsidP="00695BCA">
            <w:pPr>
              <w:rPr>
                <w:rFonts w:ascii="Arial" w:hAnsi="Arial"/>
                <w:sz w:val="17"/>
                <w:szCs w:val="17"/>
              </w:rPr>
            </w:pPr>
            <w:r w:rsidRPr="007E6DF6">
              <w:rPr>
                <w:rFonts w:ascii="Arial" w:hAnsi="Arial"/>
                <w:sz w:val="17"/>
                <w:szCs w:val="17"/>
              </w:rPr>
              <w:t>Deputy Under Treasurer, Agency Performance</w:t>
            </w:r>
          </w:p>
          <w:p w14:paraId="0CEB478B" w14:textId="24A18832" w:rsidR="00695BCA" w:rsidRPr="007E6DF6" w:rsidRDefault="00695BCA" w:rsidP="00695BCA">
            <w:pPr>
              <w:rPr>
                <w:rFonts w:ascii="Arial" w:hAnsi="Arial"/>
                <w:sz w:val="17"/>
                <w:szCs w:val="17"/>
              </w:rPr>
            </w:pPr>
            <w:r w:rsidRPr="007E6DF6">
              <w:rPr>
                <w:rFonts w:ascii="Arial" w:hAnsi="Arial"/>
                <w:sz w:val="17"/>
                <w:szCs w:val="17"/>
              </w:rPr>
              <w:t>Queensland Treasury (or proxy)</w:t>
            </w:r>
          </w:p>
        </w:tc>
        <w:tc>
          <w:tcPr>
            <w:tcW w:w="1944" w:type="dxa"/>
            <w:tcBorders>
              <w:top w:val="single" w:sz="4" w:space="0" w:color="auto"/>
              <w:left w:val="single" w:sz="4" w:space="0" w:color="auto"/>
              <w:bottom w:val="single" w:sz="4" w:space="0" w:color="auto"/>
              <w:right w:val="single" w:sz="4" w:space="0" w:color="auto"/>
            </w:tcBorders>
          </w:tcPr>
          <w:p w14:paraId="39244C87" w14:textId="63F2B07E" w:rsidR="00695BCA" w:rsidRPr="007E6DF6" w:rsidRDefault="00695BCA" w:rsidP="00695BCA">
            <w:pPr>
              <w:rPr>
                <w:rFonts w:ascii="Arial" w:hAnsi="Arial"/>
                <w:sz w:val="16"/>
                <w:szCs w:val="16"/>
              </w:rPr>
            </w:pPr>
            <w:r w:rsidRPr="007E6DF6">
              <w:rPr>
                <w:rFonts w:ascii="Arial" w:hAnsi="Arial"/>
                <w:sz w:val="16"/>
                <w:szCs w:val="16"/>
              </w:rPr>
              <w:t xml:space="preserve"> 6</w:t>
            </w:r>
          </w:p>
        </w:tc>
        <w:tc>
          <w:tcPr>
            <w:tcW w:w="1482" w:type="dxa"/>
            <w:tcBorders>
              <w:top w:val="single" w:sz="4" w:space="0" w:color="auto"/>
              <w:left w:val="single" w:sz="4" w:space="0" w:color="auto"/>
              <w:bottom w:val="single" w:sz="4" w:space="0" w:color="auto"/>
              <w:right w:val="single" w:sz="4" w:space="0" w:color="auto"/>
            </w:tcBorders>
          </w:tcPr>
          <w:p w14:paraId="4098B740" w14:textId="7069B2CE"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3DBAF4C8" w14:textId="21FD6B4B"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484D7106" w14:textId="1209E9CD"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670BBE48" w14:textId="77777777" w:rsidTr="00695BCA">
        <w:tc>
          <w:tcPr>
            <w:tcW w:w="1945" w:type="dxa"/>
            <w:tcBorders>
              <w:top w:val="single" w:sz="4" w:space="0" w:color="auto"/>
              <w:left w:val="single" w:sz="4" w:space="0" w:color="auto"/>
              <w:bottom w:val="single" w:sz="4" w:space="0" w:color="auto"/>
              <w:right w:val="single" w:sz="4" w:space="0" w:color="auto"/>
            </w:tcBorders>
          </w:tcPr>
          <w:p w14:paraId="69FF8B75" w14:textId="215B10E0"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3DA32C14" w14:textId="77777777" w:rsidR="00695BCA" w:rsidRPr="007E6DF6" w:rsidRDefault="00695BCA" w:rsidP="00695BCA">
            <w:pPr>
              <w:rPr>
                <w:rFonts w:ascii="Arial" w:hAnsi="Arial"/>
                <w:sz w:val="17"/>
                <w:szCs w:val="17"/>
              </w:rPr>
            </w:pPr>
            <w:r w:rsidRPr="007E6DF6">
              <w:rPr>
                <w:rFonts w:ascii="Arial" w:hAnsi="Arial"/>
                <w:sz w:val="17"/>
                <w:szCs w:val="17"/>
              </w:rPr>
              <w:t>Deputy Director-General, Justice Services</w:t>
            </w:r>
          </w:p>
          <w:p w14:paraId="0B95F8B9" w14:textId="37DED8C7" w:rsidR="00695BCA" w:rsidRPr="007E6DF6" w:rsidRDefault="00695BCA" w:rsidP="00695BCA">
            <w:pPr>
              <w:rPr>
                <w:rFonts w:ascii="Arial" w:hAnsi="Arial"/>
                <w:sz w:val="17"/>
                <w:szCs w:val="17"/>
              </w:rPr>
            </w:pPr>
            <w:r w:rsidRPr="007E6DF6">
              <w:rPr>
                <w:rFonts w:ascii="Arial" w:hAnsi="Arial"/>
                <w:sz w:val="17"/>
                <w:szCs w:val="17"/>
              </w:rPr>
              <w:t>Department of Justice and Attorney-General (or proxy)</w:t>
            </w:r>
          </w:p>
        </w:tc>
        <w:tc>
          <w:tcPr>
            <w:tcW w:w="1944" w:type="dxa"/>
            <w:tcBorders>
              <w:top w:val="single" w:sz="4" w:space="0" w:color="auto"/>
              <w:left w:val="single" w:sz="4" w:space="0" w:color="auto"/>
              <w:bottom w:val="single" w:sz="4" w:space="0" w:color="auto"/>
              <w:right w:val="single" w:sz="4" w:space="0" w:color="auto"/>
            </w:tcBorders>
          </w:tcPr>
          <w:p w14:paraId="1373964B" w14:textId="7B2F1824" w:rsidR="00695BCA" w:rsidRPr="007E6DF6" w:rsidRDefault="00695BCA" w:rsidP="00695BCA">
            <w:pPr>
              <w:rPr>
                <w:rFonts w:ascii="Arial" w:hAnsi="Arial"/>
                <w:sz w:val="16"/>
                <w:szCs w:val="16"/>
              </w:rPr>
            </w:pPr>
            <w:r w:rsidRPr="007E6DF6">
              <w:rPr>
                <w:rFonts w:ascii="Arial" w:hAnsi="Arial"/>
                <w:sz w:val="16"/>
                <w:szCs w:val="16"/>
              </w:rPr>
              <w:t>6</w:t>
            </w:r>
          </w:p>
        </w:tc>
        <w:tc>
          <w:tcPr>
            <w:tcW w:w="1482" w:type="dxa"/>
            <w:tcBorders>
              <w:top w:val="single" w:sz="4" w:space="0" w:color="auto"/>
              <w:left w:val="single" w:sz="4" w:space="0" w:color="auto"/>
              <w:bottom w:val="single" w:sz="4" w:space="0" w:color="auto"/>
              <w:right w:val="single" w:sz="4" w:space="0" w:color="auto"/>
            </w:tcBorders>
          </w:tcPr>
          <w:p w14:paraId="545980DB" w14:textId="58BE12B7"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08B12196" w14:textId="0EE0D737"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0E622AAC" w14:textId="62AD1F90"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3D288B61" w14:textId="77777777" w:rsidTr="00695BCA">
        <w:tc>
          <w:tcPr>
            <w:tcW w:w="1945" w:type="dxa"/>
            <w:tcBorders>
              <w:top w:val="single" w:sz="4" w:space="0" w:color="auto"/>
              <w:left w:val="single" w:sz="4" w:space="0" w:color="auto"/>
              <w:bottom w:val="single" w:sz="4" w:space="0" w:color="auto"/>
              <w:right w:val="single" w:sz="4" w:space="0" w:color="auto"/>
            </w:tcBorders>
          </w:tcPr>
          <w:p w14:paraId="64CD7333" w14:textId="26A0B533"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7E542FDA" w14:textId="77777777" w:rsidR="00695BCA" w:rsidRPr="007E6DF6" w:rsidRDefault="00695BCA" w:rsidP="00695BCA">
            <w:pPr>
              <w:rPr>
                <w:rFonts w:ascii="Arial" w:hAnsi="Arial"/>
                <w:sz w:val="17"/>
                <w:szCs w:val="17"/>
              </w:rPr>
            </w:pPr>
            <w:r w:rsidRPr="007E6DF6">
              <w:rPr>
                <w:rFonts w:ascii="Arial" w:hAnsi="Arial"/>
                <w:sz w:val="17"/>
                <w:szCs w:val="17"/>
              </w:rPr>
              <w:t>Deputy Director-General, Policy</w:t>
            </w:r>
          </w:p>
          <w:p w14:paraId="38C95DDE" w14:textId="7EBCC596" w:rsidR="00695BCA" w:rsidRPr="007E6DF6" w:rsidRDefault="00695BCA" w:rsidP="00695BCA">
            <w:pPr>
              <w:rPr>
                <w:rFonts w:ascii="Arial" w:hAnsi="Arial"/>
                <w:sz w:val="17"/>
                <w:szCs w:val="17"/>
              </w:rPr>
            </w:pPr>
            <w:r w:rsidRPr="007E6DF6">
              <w:rPr>
                <w:rFonts w:ascii="Arial" w:hAnsi="Arial"/>
                <w:sz w:val="17"/>
                <w:szCs w:val="17"/>
              </w:rPr>
              <w:t>Department of the Premier and Cabinet (or proxy)</w:t>
            </w:r>
          </w:p>
        </w:tc>
        <w:tc>
          <w:tcPr>
            <w:tcW w:w="1944" w:type="dxa"/>
            <w:tcBorders>
              <w:top w:val="single" w:sz="4" w:space="0" w:color="auto"/>
              <w:left w:val="single" w:sz="4" w:space="0" w:color="auto"/>
              <w:bottom w:val="single" w:sz="4" w:space="0" w:color="auto"/>
              <w:right w:val="single" w:sz="4" w:space="0" w:color="auto"/>
            </w:tcBorders>
          </w:tcPr>
          <w:p w14:paraId="2022EE88" w14:textId="2AF51463" w:rsidR="00695BCA" w:rsidRPr="007E6DF6" w:rsidRDefault="00695BCA" w:rsidP="00695BCA">
            <w:pPr>
              <w:rPr>
                <w:rFonts w:ascii="Arial" w:hAnsi="Arial"/>
                <w:sz w:val="16"/>
                <w:szCs w:val="16"/>
              </w:rPr>
            </w:pPr>
            <w:r w:rsidRPr="007E6DF6">
              <w:rPr>
                <w:rFonts w:ascii="Arial" w:hAnsi="Arial"/>
                <w:sz w:val="16"/>
                <w:szCs w:val="16"/>
              </w:rPr>
              <w:t>4</w:t>
            </w:r>
          </w:p>
        </w:tc>
        <w:tc>
          <w:tcPr>
            <w:tcW w:w="1482" w:type="dxa"/>
            <w:tcBorders>
              <w:top w:val="single" w:sz="4" w:space="0" w:color="auto"/>
              <w:left w:val="single" w:sz="4" w:space="0" w:color="auto"/>
              <w:bottom w:val="single" w:sz="4" w:space="0" w:color="auto"/>
              <w:right w:val="single" w:sz="4" w:space="0" w:color="auto"/>
            </w:tcBorders>
          </w:tcPr>
          <w:p w14:paraId="7725ABEC" w14:textId="171BEE69"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7B4178BD" w14:textId="259600D2"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19C1DC2E" w14:textId="06AA477E" w:rsidR="00695BCA" w:rsidRPr="007E6DF6" w:rsidRDefault="00695BCA" w:rsidP="00695BCA">
            <w:pPr>
              <w:rPr>
                <w:rFonts w:ascii="Arial" w:hAnsi="Arial"/>
                <w:sz w:val="16"/>
                <w:szCs w:val="16"/>
              </w:rPr>
            </w:pPr>
            <w:r w:rsidRPr="007E6DF6">
              <w:rPr>
                <w:rFonts w:ascii="Arial" w:hAnsi="Arial"/>
                <w:sz w:val="16"/>
                <w:szCs w:val="16"/>
              </w:rPr>
              <w:t>N/A</w:t>
            </w:r>
          </w:p>
        </w:tc>
      </w:tr>
      <w:tr w:rsidR="00695BCA" w:rsidRPr="007E6DF6" w14:paraId="3D7368A0" w14:textId="77777777" w:rsidTr="00695BCA">
        <w:tc>
          <w:tcPr>
            <w:tcW w:w="1945" w:type="dxa"/>
            <w:tcBorders>
              <w:top w:val="single" w:sz="4" w:space="0" w:color="auto"/>
              <w:left w:val="single" w:sz="4" w:space="0" w:color="auto"/>
              <w:bottom w:val="single" w:sz="4" w:space="0" w:color="auto"/>
              <w:right w:val="single" w:sz="4" w:space="0" w:color="auto"/>
            </w:tcBorders>
          </w:tcPr>
          <w:p w14:paraId="4CF46DC7" w14:textId="4D856006" w:rsidR="00695BCA" w:rsidRPr="007E6DF6" w:rsidRDefault="00695BCA" w:rsidP="00695BCA">
            <w:pPr>
              <w:rPr>
                <w:rFonts w:ascii="Arial" w:hAnsi="Arial"/>
                <w:sz w:val="17"/>
                <w:szCs w:val="17"/>
              </w:rPr>
            </w:pPr>
            <w:r w:rsidRPr="007E6DF6">
              <w:rPr>
                <w:rFonts w:ascii="Arial" w:hAnsi="Arial"/>
                <w:sz w:val="17"/>
                <w:szCs w:val="17"/>
              </w:rPr>
              <w:t>Ex-Officio</w:t>
            </w:r>
          </w:p>
        </w:tc>
        <w:tc>
          <w:tcPr>
            <w:tcW w:w="1617" w:type="dxa"/>
            <w:tcBorders>
              <w:top w:val="single" w:sz="4" w:space="0" w:color="auto"/>
              <w:left w:val="single" w:sz="4" w:space="0" w:color="auto"/>
              <w:bottom w:val="single" w:sz="4" w:space="0" w:color="auto"/>
              <w:right w:val="single" w:sz="4" w:space="0" w:color="auto"/>
            </w:tcBorders>
          </w:tcPr>
          <w:p w14:paraId="10C1A950" w14:textId="77777777" w:rsidR="00695BCA" w:rsidRPr="007E6DF6" w:rsidRDefault="00695BCA" w:rsidP="00695BCA">
            <w:pPr>
              <w:rPr>
                <w:rFonts w:ascii="Arial" w:hAnsi="Arial"/>
                <w:sz w:val="17"/>
                <w:szCs w:val="17"/>
              </w:rPr>
            </w:pPr>
            <w:r w:rsidRPr="007E6DF6">
              <w:rPr>
                <w:rFonts w:ascii="Arial" w:hAnsi="Arial"/>
                <w:sz w:val="17"/>
                <w:szCs w:val="17"/>
              </w:rPr>
              <w:t xml:space="preserve">National Indigenous Australians Agency, Australian Government </w:t>
            </w:r>
          </w:p>
          <w:p w14:paraId="582446DB" w14:textId="70892173" w:rsidR="00695BCA" w:rsidRPr="007E6DF6" w:rsidRDefault="00695BCA" w:rsidP="00695BCA">
            <w:pPr>
              <w:rPr>
                <w:rFonts w:ascii="Arial" w:hAnsi="Arial"/>
                <w:sz w:val="17"/>
                <w:szCs w:val="17"/>
              </w:rPr>
            </w:pPr>
            <w:r w:rsidRPr="007E6DF6">
              <w:rPr>
                <w:rFonts w:ascii="Arial" w:hAnsi="Arial"/>
                <w:sz w:val="17"/>
                <w:szCs w:val="17"/>
              </w:rPr>
              <w:t xml:space="preserve"> (or proxy)</w:t>
            </w:r>
          </w:p>
        </w:tc>
        <w:tc>
          <w:tcPr>
            <w:tcW w:w="1944" w:type="dxa"/>
            <w:tcBorders>
              <w:top w:val="single" w:sz="4" w:space="0" w:color="auto"/>
              <w:left w:val="single" w:sz="4" w:space="0" w:color="auto"/>
              <w:bottom w:val="single" w:sz="4" w:space="0" w:color="auto"/>
              <w:right w:val="single" w:sz="4" w:space="0" w:color="auto"/>
            </w:tcBorders>
          </w:tcPr>
          <w:p w14:paraId="02BF180E" w14:textId="57D52C3E" w:rsidR="00695BCA" w:rsidRPr="007E6DF6" w:rsidRDefault="00695BCA" w:rsidP="00695BCA">
            <w:pPr>
              <w:rPr>
                <w:rFonts w:ascii="Arial" w:hAnsi="Arial"/>
                <w:sz w:val="16"/>
                <w:szCs w:val="16"/>
              </w:rPr>
            </w:pPr>
            <w:r w:rsidRPr="007E6DF6">
              <w:rPr>
                <w:rFonts w:ascii="Arial" w:hAnsi="Arial"/>
                <w:sz w:val="16"/>
                <w:szCs w:val="16"/>
              </w:rPr>
              <w:t>4</w:t>
            </w:r>
          </w:p>
        </w:tc>
        <w:tc>
          <w:tcPr>
            <w:tcW w:w="1482" w:type="dxa"/>
            <w:tcBorders>
              <w:top w:val="single" w:sz="4" w:space="0" w:color="auto"/>
              <w:left w:val="single" w:sz="4" w:space="0" w:color="auto"/>
              <w:bottom w:val="single" w:sz="4" w:space="0" w:color="auto"/>
              <w:right w:val="single" w:sz="4" w:space="0" w:color="auto"/>
            </w:tcBorders>
          </w:tcPr>
          <w:p w14:paraId="780A720D" w14:textId="280F1CEB" w:rsidR="00695BCA" w:rsidRPr="007E6DF6" w:rsidRDefault="00695BCA" w:rsidP="00695BCA">
            <w:pPr>
              <w:rPr>
                <w:rFonts w:ascii="Arial" w:hAnsi="Arial"/>
                <w:sz w:val="16"/>
                <w:szCs w:val="16"/>
              </w:rPr>
            </w:pPr>
            <w:r w:rsidRPr="007E6DF6">
              <w:rPr>
                <w:rFonts w:ascii="Arial" w:hAnsi="Arial"/>
                <w:sz w:val="16"/>
                <w:szCs w:val="16"/>
              </w:rPr>
              <w:t>N/A</w:t>
            </w:r>
          </w:p>
        </w:tc>
        <w:tc>
          <w:tcPr>
            <w:tcW w:w="1484" w:type="dxa"/>
            <w:tcBorders>
              <w:top w:val="single" w:sz="4" w:space="0" w:color="auto"/>
              <w:left w:val="single" w:sz="4" w:space="0" w:color="auto"/>
              <w:bottom w:val="single" w:sz="4" w:space="0" w:color="auto"/>
              <w:right w:val="single" w:sz="4" w:space="0" w:color="auto"/>
            </w:tcBorders>
          </w:tcPr>
          <w:p w14:paraId="43C659EE" w14:textId="66D52767" w:rsidR="00695BCA" w:rsidRPr="007E6DF6" w:rsidRDefault="00695BCA" w:rsidP="00695BCA">
            <w:pPr>
              <w:rPr>
                <w:rFonts w:ascii="Arial" w:hAnsi="Arial"/>
                <w:sz w:val="16"/>
                <w:szCs w:val="16"/>
              </w:rPr>
            </w:pPr>
            <w:r w:rsidRPr="007E6DF6">
              <w:rPr>
                <w:rFonts w:ascii="Arial" w:hAnsi="Arial"/>
                <w:sz w:val="16"/>
                <w:szCs w:val="16"/>
              </w:rPr>
              <w:t>N/A</w:t>
            </w:r>
          </w:p>
        </w:tc>
        <w:tc>
          <w:tcPr>
            <w:tcW w:w="1988" w:type="dxa"/>
            <w:tcBorders>
              <w:top w:val="single" w:sz="4" w:space="0" w:color="auto"/>
              <w:left w:val="single" w:sz="4" w:space="0" w:color="auto"/>
              <w:bottom w:val="single" w:sz="4" w:space="0" w:color="auto"/>
              <w:right w:val="single" w:sz="4" w:space="0" w:color="auto"/>
            </w:tcBorders>
          </w:tcPr>
          <w:p w14:paraId="2B74DDF2" w14:textId="1A5597ED" w:rsidR="00695BCA" w:rsidRPr="007E6DF6" w:rsidRDefault="00695BCA" w:rsidP="00695BCA">
            <w:pPr>
              <w:rPr>
                <w:rFonts w:ascii="Arial" w:hAnsi="Arial"/>
                <w:sz w:val="16"/>
                <w:szCs w:val="16"/>
              </w:rPr>
            </w:pPr>
            <w:r w:rsidRPr="007E6DF6">
              <w:rPr>
                <w:rFonts w:ascii="Arial" w:hAnsi="Arial"/>
                <w:sz w:val="16"/>
                <w:szCs w:val="16"/>
              </w:rPr>
              <w:t>N/A</w:t>
            </w:r>
          </w:p>
        </w:tc>
      </w:tr>
      <w:tr w:rsidR="00A748F2" w:rsidRPr="007E6DF6" w14:paraId="2D95A3D3" w14:textId="77777777" w:rsidTr="00A748F2">
        <w:tc>
          <w:tcPr>
            <w:tcW w:w="1945" w:type="dxa"/>
            <w:tcBorders>
              <w:top w:val="single" w:sz="4" w:space="0" w:color="auto"/>
              <w:left w:val="single" w:sz="4" w:space="0" w:color="auto"/>
              <w:bottom w:val="single" w:sz="4" w:space="0" w:color="auto"/>
              <w:right w:val="single" w:sz="4" w:space="0" w:color="auto"/>
            </w:tcBorders>
            <w:hideMark/>
          </w:tcPr>
          <w:p w14:paraId="54E07C99" w14:textId="77777777" w:rsidR="00A748F2" w:rsidRPr="007E6DF6" w:rsidRDefault="00A748F2" w:rsidP="00A748F2">
            <w:pPr>
              <w:rPr>
                <w:rFonts w:ascii="Arial" w:hAnsi="Arial"/>
              </w:rPr>
            </w:pPr>
            <w:r w:rsidRPr="007E6DF6">
              <w:rPr>
                <w:rFonts w:ascii="Arial" w:hAnsi="Arial"/>
              </w:rPr>
              <w:t>No. scheduled meetings/sessions</w:t>
            </w:r>
          </w:p>
        </w:tc>
        <w:tc>
          <w:tcPr>
            <w:tcW w:w="8515" w:type="dxa"/>
            <w:gridSpan w:val="5"/>
            <w:tcBorders>
              <w:top w:val="single" w:sz="4" w:space="0" w:color="auto"/>
              <w:left w:val="single" w:sz="4" w:space="0" w:color="auto"/>
              <w:bottom w:val="single" w:sz="4" w:space="0" w:color="auto"/>
              <w:right w:val="single" w:sz="4" w:space="0" w:color="auto"/>
            </w:tcBorders>
          </w:tcPr>
          <w:p w14:paraId="4318E854" w14:textId="0AC362BB" w:rsidR="00A748F2" w:rsidRPr="007E6DF6" w:rsidRDefault="00940A58" w:rsidP="00A748F2">
            <w:pPr>
              <w:rPr>
                <w:rFonts w:ascii="Arial" w:hAnsi="Arial"/>
              </w:rPr>
            </w:pPr>
            <w:r w:rsidRPr="007E6DF6">
              <w:rPr>
                <w:rFonts w:ascii="Arial" w:hAnsi="Arial"/>
                <w:iCs/>
                <w:sz w:val="16"/>
                <w:szCs w:val="16"/>
              </w:rPr>
              <w:t>6 m</w:t>
            </w:r>
            <w:r w:rsidR="00A748F2" w:rsidRPr="007E6DF6">
              <w:rPr>
                <w:rFonts w:ascii="Arial" w:hAnsi="Arial"/>
                <w:iCs/>
                <w:sz w:val="16"/>
                <w:szCs w:val="16"/>
              </w:rPr>
              <w:t xml:space="preserve">eetings scheduled during the Reporting Period plus additional pre-meeting briefing sessions, workshops and co-chair briefings to support oversight of the LTC reform. </w:t>
            </w:r>
          </w:p>
        </w:tc>
      </w:tr>
      <w:tr w:rsidR="00A748F2" w:rsidRPr="002F1114" w14:paraId="617415D1" w14:textId="77777777" w:rsidTr="00A748F2">
        <w:tc>
          <w:tcPr>
            <w:tcW w:w="1945" w:type="dxa"/>
            <w:tcBorders>
              <w:top w:val="single" w:sz="4" w:space="0" w:color="auto"/>
              <w:left w:val="single" w:sz="4" w:space="0" w:color="auto"/>
              <w:bottom w:val="single" w:sz="4" w:space="0" w:color="auto"/>
              <w:right w:val="single" w:sz="4" w:space="0" w:color="auto"/>
            </w:tcBorders>
            <w:hideMark/>
          </w:tcPr>
          <w:p w14:paraId="60BAB02A" w14:textId="77777777" w:rsidR="00A748F2" w:rsidRPr="007E6DF6" w:rsidRDefault="00A748F2" w:rsidP="00A748F2">
            <w:pPr>
              <w:rPr>
                <w:rFonts w:ascii="Arial" w:hAnsi="Arial"/>
              </w:rPr>
            </w:pPr>
            <w:r w:rsidRPr="007E6DF6">
              <w:rPr>
                <w:rFonts w:ascii="Arial" w:hAnsi="Arial"/>
              </w:rPr>
              <w:t>Total out of pocket expenses</w:t>
            </w:r>
          </w:p>
        </w:tc>
        <w:tc>
          <w:tcPr>
            <w:tcW w:w="8515" w:type="dxa"/>
            <w:gridSpan w:val="5"/>
            <w:tcBorders>
              <w:top w:val="single" w:sz="4" w:space="0" w:color="auto"/>
              <w:left w:val="single" w:sz="4" w:space="0" w:color="auto"/>
              <w:bottom w:val="single" w:sz="4" w:space="0" w:color="auto"/>
              <w:right w:val="single" w:sz="4" w:space="0" w:color="auto"/>
            </w:tcBorders>
          </w:tcPr>
          <w:p w14:paraId="75052547" w14:textId="51A710B4" w:rsidR="00A748F2" w:rsidRPr="002F1114" w:rsidRDefault="00A748F2" w:rsidP="00A748F2">
            <w:pPr>
              <w:rPr>
                <w:rFonts w:ascii="Arial" w:hAnsi="Arial"/>
              </w:rPr>
            </w:pPr>
            <w:r w:rsidRPr="007E6DF6">
              <w:t>$5</w:t>
            </w:r>
            <w:r w:rsidR="007D01A6">
              <w:t>,</w:t>
            </w:r>
            <w:r w:rsidRPr="007E6DF6">
              <w:t>076.60</w:t>
            </w:r>
          </w:p>
        </w:tc>
      </w:tr>
    </w:tbl>
    <w:p w14:paraId="6A185DC6" w14:textId="41AB1439" w:rsidR="00F73A76" w:rsidRDefault="00F73A76" w:rsidP="00392640">
      <w:pPr>
        <w:pStyle w:val="Heading2"/>
      </w:pPr>
      <w:bookmarkStart w:id="33" w:name="_Toc81984392"/>
      <w:r>
        <w:t>Appendix 6</w:t>
      </w:r>
      <w:r w:rsidRPr="00022F61">
        <w:t xml:space="preserve"> - Compliance Checklist</w:t>
      </w:r>
      <w:bookmarkEnd w:id="33"/>
    </w:p>
    <w:tbl>
      <w:tblPr>
        <w:tblStyle w:val="TableGrid"/>
        <w:tblW w:w="0" w:type="auto"/>
        <w:tblLook w:val="04A0" w:firstRow="1" w:lastRow="0" w:firstColumn="1" w:lastColumn="0" w:noHBand="0" w:noVBand="1"/>
      </w:tblPr>
      <w:tblGrid>
        <w:gridCol w:w="2122"/>
        <w:gridCol w:w="3685"/>
        <w:gridCol w:w="2552"/>
        <w:gridCol w:w="1791"/>
      </w:tblGrid>
      <w:tr w:rsidR="00DD6B6F" w14:paraId="18E8EB07" w14:textId="77777777" w:rsidTr="00725863">
        <w:tc>
          <w:tcPr>
            <w:tcW w:w="2122" w:type="dxa"/>
            <w:shd w:val="clear" w:color="auto" w:fill="A6A6A6" w:themeFill="background1" w:themeFillShade="A6"/>
          </w:tcPr>
          <w:p w14:paraId="2EAFD396" w14:textId="400995F0" w:rsidR="00DD6B6F" w:rsidRPr="00DD6B6F" w:rsidRDefault="00DD6B6F" w:rsidP="00DD6B6F">
            <w:pPr>
              <w:rPr>
                <w:rFonts w:ascii="Arial" w:hAnsi="Arial"/>
                <w:lang w:eastAsia="en-US"/>
              </w:rPr>
            </w:pPr>
            <w:r>
              <w:rPr>
                <w:rFonts w:ascii="Arial" w:hAnsi="Arial"/>
                <w:lang w:eastAsia="en-US"/>
              </w:rPr>
              <w:t>Requirement</w:t>
            </w:r>
          </w:p>
        </w:tc>
        <w:tc>
          <w:tcPr>
            <w:tcW w:w="3685" w:type="dxa"/>
            <w:shd w:val="clear" w:color="auto" w:fill="A6A6A6" w:themeFill="background1" w:themeFillShade="A6"/>
          </w:tcPr>
          <w:p w14:paraId="2A54F4F7" w14:textId="2F3E698C" w:rsidR="00DD6B6F" w:rsidRPr="00DD6B6F" w:rsidRDefault="00DD6B6F" w:rsidP="00DD6B6F">
            <w:pPr>
              <w:rPr>
                <w:rFonts w:ascii="Arial" w:hAnsi="Arial"/>
                <w:lang w:eastAsia="en-US"/>
              </w:rPr>
            </w:pPr>
            <w:r w:rsidRPr="00DD6B6F">
              <w:rPr>
                <w:rFonts w:ascii="Arial" w:hAnsi="Arial"/>
              </w:rPr>
              <w:t>Summary of requirement</w:t>
            </w:r>
          </w:p>
        </w:tc>
        <w:tc>
          <w:tcPr>
            <w:tcW w:w="2552" w:type="dxa"/>
            <w:shd w:val="clear" w:color="auto" w:fill="A6A6A6" w:themeFill="background1" w:themeFillShade="A6"/>
          </w:tcPr>
          <w:p w14:paraId="1846688C" w14:textId="0F00CC4F" w:rsidR="00DD6B6F" w:rsidRPr="00DD6B6F" w:rsidRDefault="00DD6B6F" w:rsidP="00DD6B6F">
            <w:pPr>
              <w:rPr>
                <w:rFonts w:ascii="Arial" w:hAnsi="Arial"/>
                <w:lang w:eastAsia="en-US"/>
              </w:rPr>
            </w:pPr>
            <w:r w:rsidRPr="00DD6B6F">
              <w:rPr>
                <w:rFonts w:ascii="Arial" w:hAnsi="Arial"/>
              </w:rPr>
              <w:t>Basis for requirement</w:t>
            </w:r>
          </w:p>
        </w:tc>
        <w:tc>
          <w:tcPr>
            <w:tcW w:w="1791" w:type="dxa"/>
            <w:shd w:val="clear" w:color="auto" w:fill="A6A6A6" w:themeFill="background1" w:themeFillShade="A6"/>
          </w:tcPr>
          <w:p w14:paraId="60257AE7" w14:textId="19AEBE27" w:rsidR="00DD6B6F" w:rsidRPr="00DD6B6F" w:rsidRDefault="00DD6B6F" w:rsidP="00DD6B6F">
            <w:pPr>
              <w:rPr>
                <w:rFonts w:ascii="Arial" w:hAnsi="Arial"/>
                <w:lang w:eastAsia="en-US"/>
              </w:rPr>
            </w:pPr>
            <w:r w:rsidRPr="00DD6B6F">
              <w:rPr>
                <w:rFonts w:ascii="Arial" w:hAnsi="Arial"/>
              </w:rPr>
              <w:t>Annual report reference</w:t>
            </w:r>
          </w:p>
        </w:tc>
      </w:tr>
      <w:tr w:rsidR="00DD6B6F" w14:paraId="56414011" w14:textId="77777777" w:rsidTr="00725863">
        <w:tc>
          <w:tcPr>
            <w:tcW w:w="2122" w:type="dxa"/>
          </w:tcPr>
          <w:p w14:paraId="3A8D2FBA" w14:textId="469C4C63" w:rsidR="00DD6B6F" w:rsidRPr="00DD6B6F" w:rsidRDefault="00DD6B6F" w:rsidP="00DD6B6F">
            <w:pPr>
              <w:rPr>
                <w:rFonts w:ascii="Arial" w:hAnsi="Arial"/>
                <w:lang w:eastAsia="en-US"/>
              </w:rPr>
            </w:pPr>
            <w:r w:rsidRPr="00DD6B6F">
              <w:rPr>
                <w:rFonts w:ascii="Arial" w:hAnsi="Arial"/>
              </w:rPr>
              <w:t>Letter of compliance</w:t>
            </w:r>
          </w:p>
        </w:tc>
        <w:tc>
          <w:tcPr>
            <w:tcW w:w="3685" w:type="dxa"/>
          </w:tcPr>
          <w:p w14:paraId="556CD7A6" w14:textId="583395EA" w:rsidR="00DD6B6F" w:rsidRPr="00725863" w:rsidRDefault="00DD6B6F" w:rsidP="00DD6B6F">
            <w:pPr>
              <w:rPr>
                <w:rFonts w:ascii="Arial" w:hAnsi="Arial"/>
                <w:lang w:eastAsia="en-US"/>
              </w:rPr>
            </w:pPr>
            <w:r w:rsidRPr="00725863">
              <w:rPr>
                <w:rFonts w:ascii="Arial" w:hAnsi="Arial"/>
              </w:rPr>
              <w:t>A letter of compliance from the accountable officer or statutory body to the relevant Minister/s</w:t>
            </w:r>
          </w:p>
        </w:tc>
        <w:tc>
          <w:tcPr>
            <w:tcW w:w="2552" w:type="dxa"/>
          </w:tcPr>
          <w:p w14:paraId="4B99D66B" w14:textId="059FFA36" w:rsidR="00DD6B6F" w:rsidRPr="00725863" w:rsidRDefault="00DD6B6F" w:rsidP="00DD6B6F">
            <w:pPr>
              <w:rPr>
                <w:rFonts w:ascii="Arial" w:hAnsi="Arial"/>
                <w:lang w:eastAsia="en-US"/>
              </w:rPr>
            </w:pPr>
            <w:r w:rsidRPr="00725863">
              <w:rPr>
                <w:rFonts w:ascii="Arial" w:hAnsi="Arial"/>
              </w:rPr>
              <w:t>ARRs – section 7</w:t>
            </w:r>
          </w:p>
        </w:tc>
        <w:tc>
          <w:tcPr>
            <w:tcW w:w="1791" w:type="dxa"/>
          </w:tcPr>
          <w:p w14:paraId="67C39BEA" w14:textId="07897772" w:rsidR="00DD6B6F" w:rsidRPr="00725863" w:rsidRDefault="00DD6B6F" w:rsidP="00DD6B6F">
            <w:pPr>
              <w:rPr>
                <w:rFonts w:ascii="Arial" w:hAnsi="Arial"/>
                <w:lang w:eastAsia="en-US"/>
              </w:rPr>
            </w:pPr>
            <w:r w:rsidRPr="00725863">
              <w:rPr>
                <w:rFonts w:ascii="Arial" w:hAnsi="Arial"/>
                <w:sz w:val="16"/>
                <w:szCs w:val="16"/>
              </w:rPr>
              <w:t>Page iii</w:t>
            </w:r>
          </w:p>
        </w:tc>
      </w:tr>
      <w:tr w:rsidR="00DD6B6F" w14:paraId="01DF9023" w14:textId="77777777" w:rsidTr="00725863">
        <w:tc>
          <w:tcPr>
            <w:tcW w:w="2122" w:type="dxa"/>
          </w:tcPr>
          <w:p w14:paraId="2043A0C6" w14:textId="72DCFC6C" w:rsidR="00DD6B6F" w:rsidRPr="00725863" w:rsidRDefault="00DD6B6F" w:rsidP="00DD6B6F">
            <w:pPr>
              <w:rPr>
                <w:rFonts w:ascii="Arial" w:hAnsi="Arial"/>
                <w:lang w:eastAsia="en-US"/>
              </w:rPr>
            </w:pPr>
            <w:r w:rsidRPr="00725863">
              <w:rPr>
                <w:rFonts w:ascii="Arial" w:hAnsi="Arial"/>
              </w:rPr>
              <w:t>Accessibility</w:t>
            </w:r>
          </w:p>
        </w:tc>
        <w:tc>
          <w:tcPr>
            <w:tcW w:w="3685" w:type="dxa"/>
          </w:tcPr>
          <w:p w14:paraId="04FF4DD5" w14:textId="77777777" w:rsidR="00DD6B6F" w:rsidRPr="00725863" w:rsidRDefault="00DD6B6F" w:rsidP="00DD6B6F">
            <w:pPr>
              <w:rPr>
                <w:rFonts w:ascii="Arial" w:hAnsi="Arial"/>
              </w:rPr>
            </w:pPr>
            <w:r w:rsidRPr="00725863">
              <w:rPr>
                <w:rFonts w:ascii="Arial" w:hAnsi="Arial"/>
              </w:rPr>
              <w:t>Table of contents</w:t>
            </w:r>
          </w:p>
          <w:p w14:paraId="5D7B822D" w14:textId="51598A84" w:rsidR="00DD6B6F" w:rsidRPr="00725863" w:rsidRDefault="00DD6B6F" w:rsidP="00DD6B6F">
            <w:pPr>
              <w:rPr>
                <w:rFonts w:ascii="Arial" w:hAnsi="Arial"/>
                <w:lang w:eastAsia="en-US"/>
              </w:rPr>
            </w:pPr>
            <w:r w:rsidRPr="00725863">
              <w:rPr>
                <w:rFonts w:ascii="Arial" w:hAnsi="Arial"/>
              </w:rPr>
              <w:t>Glossary</w:t>
            </w:r>
          </w:p>
        </w:tc>
        <w:tc>
          <w:tcPr>
            <w:tcW w:w="2552" w:type="dxa"/>
          </w:tcPr>
          <w:p w14:paraId="663DE5AB" w14:textId="77224CAD" w:rsidR="00DD6B6F" w:rsidRPr="00725863" w:rsidRDefault="00DD6B6F" w:rsidP="00DD6B6F">
            <w:pPr>
              <w:rPr>
                <w:rFonts w:ascii="Arial" w:hAnsi="Arial"/>
                <w:lang w:eastAsia="en-US"/>
              </w:rPr>
            </w:pPr>
            <w:r w:rsidRPr="00725863">
              <w:rPr>
                <w:rFonts w:ascii="Arial" w:hAnsi="Arial"/>
              </w:rPr>
              <w:t>ARRs – section 9.1</w:t>
            </w:r>
          </w:p>
        </w:tc>
        <w:tc>
          <w:tcPr>
            <w:tcW w:w="1791" w:type="dxa"/>
          </w:tcPr>
          <w:p w14:paraId="4E1526C9" w14:textId="77777777" w:rsidR="00DD6B6F" w:rsidRPr="00725863" w:rsidRDefault="00DD6B6F" w:rsidP="00DD6B6F">
            <w:pPr>
              <w:rPr>
                <w:rFonts w:ascii="Arial" w:hAnsi="Arial"/>
                <w:sz w:val="16"/>
                <w:szCs w:val="16"/>
              </w:rPr>
            </w:pPr>
            <w:r w:rsidRPr="00725863">
              <w:rPr>
                <w:rFonts w:ascii="Arial" w:hAnsi="Arial"/>
                <w:sz w:val="16"/>
                <w:szCs w:val="16"/>
              </w:rPr>
              <w:t>Page iv</w:t>
            </w:r>
          </w:p>
          <w:p w14:paraId="6FA0AB7B" w14:textId="1C7DD4CC" w:rsidR="00DD6B6F" w:rsidRPr="00725863" w:rsidRDefault="00DD6B6F" w:rsidP="00DD6B6F">
            <w:pPr>
              <w:rPr>
                <w:rFonts w:ascii="Arial" w:hAnsi="Arial"/>
                <w:lang w:eastAsia="en-US"/>
              </w:rPr>
            </w:pPr>
            <w:r w:rsidRPr="00725863">
              <w:rPr>
                <w:rFonts w:ascii="Arial" w:hAnsi="Arial"/>
                <w:sz w:val="16"/>
                <w:szCs w:val="16"/>
              </w:rPr>
              <w:t>Pages 53-55</w:t>
            </w:r>
          </w:p>
        </w:tc>
      </w:tr>
      <w:tr w:rsidR="00DD6B6F" w14:paraId="08231932" w14:textId="77777777" w:rsidTr="00725863">
        <w:tc>
          <w:tcPr>
            <w:tcW w:w="2122" w:type="dxa"/>
          </w:tcPr>
          <w:p w14:paraId="78A94B54" w14:textId="48E760ED" w:rsidR="00DD6B6F" w:rsidRPr="00725863" w:rsidRDefault="00DD6B6F" w:rsidP="00DD6B6F">
            <w:pPr>
              <w:rPr>
                <w:rFonts w:ascii="Arial" w:hAnsi="Arial"/>
                <w:lang w:eastAsia="en-US"/>
              </w:rPr>
            </w:pPr>
            <w:r w:rsidRPr="00725863">
              <w:rPr>
                <w:rFonts w:ascii="Arial" w:hAnsi="Arial"/>
              </w:rPr>
              <w:t>Accessibility</w:t>
            </w:r>
          </w:p>
        </w:tc>
        <w:tc>
          <w:tcPr>
            <w:tcW w:w="3685" w:type="dxa"/>
          </w:tcPr>
          <w:p w14:paraId="11BBD3B3" w14:textId="3A2569DD" w:rsidR="00DD6B6F" w:rsidRPr="00725863" w:rsidRDefault="00DD6B6F" w:rsidP="00DD6B6F">
            <w:pPr>
              <w:rPr>
                <w:rFonts w:ascii="Arial" w:hAnsi="Arial"/>
                <w:lang w:eastAsia="en-US"/>
              </w:rPr>
            </w:pPr>
            <w:r w:rsidRPr="00725863">
              <w:rPr>
                <w:rFonts w:ascii="Arial" w:hAnsi="Arial"/>
              </w:rPr>
              <w:t>Public availability</w:t>
            </w:r>
          </w:p>
        </w:tc>
        <w:tc>
          <w:tcPr>
            <w:tcW w:w="2552" w:type="dxa"/>
          </w:tcPr>
          <w:p w14:paraId="6DB54015" w14:textId="2FFE28D9" w:rsidR="00DD6B6F" w:rsidRPr="00725863" w:rsidRDefault="00DD6B6F" w:rsidP="00DD6B6F">
            <w:pPr>
              <w:rPr>
                <w:rFonts w:ascii="Arial" w:hAnsi="Arial"/>
                <w:lang w:eastAsia="en-US"/>
              </w:rPr>
            </w:pPr>
            <w:r w:rsidRPr="00725863">
              <w:rPr>
                <w:rFonts w:ascii="Arial" w:hAnsi="Arial"/>
              </w:rPr>
              <w:t>ARRs – section 9.2</w:t>
            </w:r>
          </w:p>
        </w:tc>
        <w:tc>
          <w:tcPr>
            <w:tcW w:w="1791" w:type="dxa"/>
          </w:tcPr>
          <w:p w14:paraId="5D685F76" w14:textId="68538A3C" w:rsidR="00DD6B6F" w:rsidRPr="00725863" w:rsidRDefault="00DD6B6F" w:rsidP="00DD6B6F">
            <w:pPr>
              <w:rPr>
                <w:rFonts w:ascii="Arial" w:hAnsi="Arial"/>
                <w:lang w:eastAsia="en-US"/>
              </w:rPr>
            </w:pPr>
            <w:r w:rsidRPr="00725863">
              <w:rPr>
                <w:rFonts w:ascii="Arial" w:hAnsi="Arial"/>
                <w:sz w:val="16"/>
                <w:szCs w:val="16"/>
              </w:rPr>
              <w:t>Page 72</w:t>
            </w:r>
          </w:p>
        </w:tc>
      </w:tr>
      <w:tr w:rsidR="00DD6B6F" w14:paraId="7453C2BA" w14:textId="77777777" w:rsidTr="00725863">
        <w:tc>
          <w:tcPr>
            <w:tcW w:w="2122" w:type="dxa"/>
          </w:tcPr>
          <w:p w14:paraId="458A5926" w14:textId="6F7E3ED5" w:rsidR="00DD6B6F" w:rsidRPr="00725863" w:rsidRDefault="00DD6B6F" w:rsidP="00DD6B6F">
            <w:pPr>
              <w:rPr>
                <w:rFonts w:ascii="Arial" w:hAnsi="Arial"/>
                <w:lang w:eastAsia="en-US"/>
              </w:rPr>
            </w:pPr>
            <w:r w:rsidRPr="00725863">
              <w:rPr>
                <w:rFonts w:ascii="Arial" w:hAnsi="Arial"/>
              </w:rPr>
              <w:lastRenderedPageBreak/>
              <w:t>Accessibility</w:t>
            </w:r>
          </w:p>
        </w:tc>
        <w:tc>
          <w:tcPr>
            <w:tcW w:w="3685" w:type="dxa"/>
          </w:tcPr>
          <w:p w14:paraId="678AD34E" w14:textId="441B3F77" w:rsidR="00DD6B6F" w:rsidRPr="00725863" w:rsidRDefault="00DD6B6F" w:rsidP="00DD6B6F">
            <w:pPr>
              <w:rPr>
                <w:rFonts w:ascii="Arial" w:hAnsi="Arial"/>
                <w:lang w:eastAsia="en-US"/>
              </w:rPr>
            </w:pPr>
            <w:r w:rsidRPr="00725863">
              <w:rPr>
                <w:rFonts w:ascii="Arial" w:hAnsi="Arial"/>
              </w:rPr>
              <w:t>Interpreter service statement</w:t>
            </w:r>
          </w:p>
        </w:tc>
        <w:tc>
          <w:tcPr>
            <w:tcW w:w="2552" w:type="dxa"/>
          </w:tcPr>
          <w:p w14:paraId="20A34AF1" w14:textId="77777777" w:rsidR="00DD6B6F" w:rsidRPr="00725863" w:rsidRDefault="00DD6B6F" w:rsidP="00DD6B6F">
            <w:pPr>
              <w:rPr>
                <w:rFonts w:ascii="Arial" w:hAnsi="Arial"/>
              </w:rPr>
            </w:pPr>
            <w:r w:rsidRPr="00725863">
              <w:rPr>
                <w:rFonts w:ascii="Arial" w:hAnsi="Arial"/>
              </w:rPr>
              <w:t>Queensland Government Language Services Policy</w:t>
            </w:r>
          </w:p>
          <w:p w14:paraId="53D942A2" w14:textId="337EC011" w:rsidR="00DD6B6F" w:rsidRPr="00725863" w:rsidRDefault="00DD6B6F" w:rsidP="00DD6B6F">
            <w:pPr>
              <w:rPr>
                <w:rFonts w:ascii="Arial" w:hAnsi="Arial"/>
                <w:lang w:eastAsia="en-US"/>
              </w:rPr>
            </w:pPr>
            <w:r w:rsidRPr="00725863">
              <w:rPr>
                <w:rFonts w:ascii="Arial" w:hAnsi="Arial"/>
              </w:rPr>
              <w:t>ARRs – section 9.3</w:t>
            </w:r>
          </w:p>
        </w:tc>
        <w:tc>
          <w:tcPr>
            <w:tcW w:w="1791" w:type="dxa"/>
          </w:tcPr>
          <w:p w14:paraId="50DE1EE3" w14:textId="2705B6D2" w:rsidR="00DD6B6F" w:rsidRPr="00725863" w:rsidRDefault="00DD6B6F" w:rsidP="00DD6B6F">
            <w:pPr>
              <w:rPr>
                <w:rFonts w:ascii="Arial" w:hAnsi="Arial"/>
                <w:lang w:eastAsia="en-US"/>
              </w:rPr>
            </w:pPr>
            <w:r w:rsidRPr="00725863">
              <w:rPr>
                <w:rFonts w:ascii="Arial" w:hAnsi="Arial"/>
                <w:sz w:val="16"/>
                <w:szCs w:val="16"/>
              </w:rPr>
              <w:t>Page 72</w:t>
            </w:r>
          </w:p>
        </w:tc>
      </w:tr>
      <w:tr w:rsidR="00DD6B6F" w14:paraId="60FECC62" w14:textId="77777777" w:rsidTr="00725863">
        <w:tc>
          <w:tcPr>
            <w:tcW w:w="2122" w:type="dxa"/>
          </w:tcPr>
          <w:p w14:paraId="4C6258B9" w14:textId="593D704E" w:rsidR="00DD6B6F" w:rsidRPr="00725863" w:rsidRDefault="00DD6B6F" w:rsidP="00DD6B6F">
            <w:pPr>
              <w:rPr>
                <w:rFonts w:ascii="Arial" w:hAnsi="Arial"/>
                <w:lang w:eastAsia="en-US"/>
              </w:rPr>
            </w:pPr>
            <w:r w:rsidRPr="00725863">
              <w:rPr>
                <w:rFonts w:ascii="Arial" w:hAnsi="Arial"/>
              </w:rPr>
              <w:t>Accessibility</w:t>
            </w:r>
          </w:p>
        </w:tc>
        <w:tc>
          <w:tcPr>
            <w:tcW w:w="3685" w:type="dxa"/>
          </w:tcPr>
          <w:p w14:paraId="73F2947C" w14:textId="6BB8C807" w:rsidR="00DD6B6F" w:rsidRPr="00725863" w:rsidRDefault="00DD6B6F" w:rsidP="00DD6B6F">
            <w:pPr>
              <w:rPr>
                <w:rFonts w:ascii="Arial" w:hAnsi="Arial"/>
                <w:lang w:eastAsia="en-US"/>
              </w:rPr>
            </w:pPr>
            <w:r w:rsidRPr="00725863">
              <w:rPr>
                <w:rFonts w:ascii="Arial" w:hAnsi="Arial"/>
              </w:rPr>
              <w:t>Copyright notice</w:t>
            </w:r>
          </w:p>
        </w:tc>
        <w:tc>
          <w:tcPr>
            <w:tcW w:w="2552" w:type="dxa"/>
          </w:tcPr>
          <w:p w14:paraId="4CBDB7E1" w14:textId="77777777" w:rsidR="00DD6B6F" w:rsidRPr="00725863" w:rsidRDefault="00DD6B6F" w:rsidP="00DD6B6F">
            <w:pPr>
              <w:rPr>
                <w:rFonts w:ascii="Arial" w:hAnsi="Arial"/>
                <w:i/>
                <w:iCs/>
              </w:rPr>
            </w:pPr>
            <w:r w:rsidRPr="00725863">
              <w:rPr>
                <w:rFonts w:ascii="Arial" w:hAnsi="Arial"/>
                <w:i/>
                <w:iCs/>
              </w:rPr>
              <w:t>Copyright Act 1968</w:t>
            </w:r>
          </w:p>
          <w:p w14:paraId="3C374CBD" w14:textId="25442142" w:rsidR="00DD6B6F" w:rsidRPr="00725863" w:rsidRDefault="00DD6B6F" w:rsidP="00DD6B6F">
            <w:pPr>
              <w:rPr>
                <w:rFonts w:ascii="Arial" w:hAnsi="Arial"/>
                <w:lang w:eastAsia="en-US"/>
              </w:rPr>
            </w:pPr>
            <w:r w:rsidRPr="00725863">
              <w:rPr>
                <w:rFonts w:ascii="Arial" w:hAnsi="Arial"/>
              </w:rPr>
              <w:t>ARRs – section 9.4</w:t>
            </w:r>
          </w:p>
        </w:tc>
        <w:tc>
          <w:tcPr>
            <w:tcW w:w="1791" w:type="dxa"/>
          </w:tcPr>
          <w:p w14:paraId="3087B385" w14:textId="01C8008E" w:rsidR="00DD6B6F" w:rsidRPr="00725863" w:rsidRDefault="00DD6B6F" w:rsidP="00DD6B6F">
            <w:pPr>
              <w:rPr>
                <w:rFonts w:ascii="Arial" w:hAnsi="Arial"/>
                <w:lang w:eastAsia="en-US"/>
              </w:rPr>
            </w:pPr>
            <w:r w:rsidRPr="00725863">
              <w:rPr>
                <w:rFonts w:ascii="Arial" w:hAnsi="Arial"/>
                <w:sz w:val="16"/>
                <w:szCs w:val="16"/>
              </w:rPr>
              <w:t>Page 72</w:t>
            </w:r>
          </w:p>
        </w:tc>
      </w:tr>
      <w:tr w:rsidR="00DD6B6F" w14:paraId="05A0CDA5" w14:textId="77777777" w:rsidTr="00725863">
        <w:tc>
          <w:tcPr>
            <w:tcW w:w="2122" w:type="dxa"/>
          </w:tcPr>
          <w:p w14:paraId="73572775" w14:textId="250A5527" w:rsidR="00DD6B6F" w:rsidRPr="00725863" w:rsidRDefault="00DD6B6F" w:rsidP="00DD6B6F">
            <w:pPr>
              <w:rPr>
                <w:rFonts w:ascii="Arial" w:hAnsi="Arial"/>
                <w:lang w:eastAsia="en-US"/>
              </w:rPr>
            </w:pPr>
            <w:r w:rsidRPr="00725863">
              <w:rPr>
                <w:rFonts w:ascii="Arial" w:hAnsi="Arial"/>
              </w:rPr>
              <w:t>Accessibility</w:t>
            </w:r>
          </w:p>
        </w:tc>
        <w:tc>
          <w:tcPr>
            <w:tcW w:w="3685" w:type="dxa"/>
          </w:tcPr>
          <w:p w14:paraId="71919D73" w14:textId="79BCF12C" w:rsidR="00DD6B6F" w:rsidRPr="00725863" w:rsidRDefault="00DD6B6F" w:rsidP="00DD6B6F">
            <w:pPr>
              <w:rPr>
                <w:rFonts w:ascii="Arial" w:hAnsi="Arial"/>
                <w:lang w:eastAsia="en-US"/>
              </w:rPr>
            </w:pPr>
            <w:r w:rsidRPr="00725863">
              <w:rPr>
                <w:rFonts w:ascii="Arial" w:hAnsi="Arial"/>
              </w:rPr>
              <w:t>Information Licensing</w:t>
            </w:r>
          </w:p>
        </w:tc>
        <w:tc>
          <w:tcPr>
            <w:tcW w:w="2552" w:type="dxa"/>
          </w:tcPr>
          <w:p w14:paraId="58D42696" w14:textId="77777777" w:rsidR="00DD6B6F" w:rsidRPr="00725863" w:rsidRDefault="00DD6B6F" w:rsidP="00DD6B6F">
            <w:pPr>
              <w:rPr>
                <w:rFonts w:ascii="Arial" w:hAnsi="Arial"/>
              </w:rPr>
            </w:pPr>
            <w:r w:rsidRPr="00725863">
              <w:rPr>
                <w:rFonts w:ascii="Arial" w:hAnsi="Arial"/>
              </w:rPr>
              <w:t>QGEA – Information Licensing</w:t>
            </w:r>
          </w:p>
          <w:p w14:paraId="7A523EFB" w14:textId="5DD92F71" w:rsidR="00DD6B6F" w:rsidRPr="00725863" w:rsidRDefault="00DD6B6F" w:rsidP="00DD6B6F">
            <w:pPr>
              <w:rPr>
                <w:rFonts w:ascii="Arial" w:hAnsi="Arial"/>
                <w:lang w:eastAsia="en-US"/>
              </w:rPr>
            </w:pPr>
            <w:r w:rsidRPr="00725863">
              <w:rPr>
                <w:rFonts w:ascii="Arial" w:hAnsi="Arial"/>
              </w:rPr>
              <w:t>ARRs – section 9.5</w:t>
            </w:r>
          </w:p>
        </w:tc>
        <w:tc>
          <w:tcPr>
            <w:tcW w:w="1791" w:type="dxa"/>
          </w:tcPr>
          <w:p w14:paraId="40472D47" w14:textId="24191061" w:rsidR="00DD6B6F" w:rsidRPr="00725863" w:rsidRDefault="00DD6B6F" w:rsidP="00DD6B6F">
            <w:pPr>
              <w:rPr>
                <w:rFonts w:ascii="Arial" w:hAnsi="Arial"/>
                <w:lang w:eastAsia="en-US"/>
              </w:rPr>
            </w:pPr>
            <w:r w:rsidRPr="00725863">
              <w:rPr>
                <w:rFonts w:ascii="Arial" w:hAnsi="Arial"/>
                <w:sz w:val="16"/>
                <w:szCs w:val="16"/>
              </w:rPr>
              <w:t>Page 72</w:t>
            </w:r>
          </w:p>
        </w:tc>
      </w:tr>
      <w:tr w:rsidR="00DD6B6F" w14:paraId="628578BA" w14:textId="77777777" w:rsidTr="00725863">
        <w:tc>
          <w:tcPr>
            <w:tcW w:w="2122" w:type="dxa"/>
          </w:tcPr>
          <w:p w14:paraId="450E4435" w14:textId="700860F9" w:rsidR="00DD6B6F" w:rsidRPr="00725863" w:rsidRDefault="00DD6B6F" w:rsidP="00DD6B6F">
            <w:pPr>
              <w:rPr>
                <w:rFonts w:ascii="Arial" w:hAnsi="Arial"/>
                <w:lang w:eastAsia="en-US"/>
              </w:rPr>
            </w:pPr>
            <w:r w:rsidRPr="00725863">
              <w:rPr>
                <w:rFonts w:ascii="Arial" w:hAnsi="Arial"/>
              </w:rPr>
              <w:t>General information</w:t>
            </w:r>
          </w:p>
        </w:tc>
        <w:tc>
          <w:tcPr>
            <w:tcW w:w="3685" w:type="dxa"/>
          </w:tcPr>
          <w:p w14:paraId="4F5B8B88" w14:textId="795E9D8C" w:rsidR="00DD6B6F" w:rsidRPr="00725863" w:rsidRDefault="00DD6B6F" w:rsidP="00DD6B6F">
            <w:pPr>
              <w:rPr>
                <w:rFonts w:ascii="Arial" w:hAnsi="Arial"/>
                <w:lang w:eastAsia="en-US"/>
              </w:rPr>
            </w:pPr>
            <w:r w:rsidRPr="00725863">
              <w:rPr>
                <w:rFonts w:ascii="Arial" w:hAnsi="Arial"/>
              </w:rPr>
              <w:t>Introductory Information</w:t>
            </w:r>
          </w:p>
        </w:tc>
        <w:tc>
          <w:tcPr>
            <w:tcW w:w="2552" w:type="dxa"/>
          </w:tcPr>
          <w:p w14:paraId="0604B7ED" w14:textId="6EE742D6" w:rsidR="00DD6B6F" w:rsidRPr="00725863" w:rsidRDefault="00DD6B6F" w:rsidP="00DD6B6F">
            <w:pPr>
              <w:rPr>
                <w:rFonts w:ascii="Arial" w:hAnsi="Arial"/>
                <w:lang w:eastAsia="en-US"/>
              </w:rPr>
            </w:pPr>
            <w:r w:rsidRPr="00725863">
              <w:rPr>
                <w:rFonts w:ascii="Arial" w:hAnsi="Arial"/>
              </w:rPr>
              <w:t>ARRs – section 10</w:t>
            </w:r>
          </w:p>
        </w:tc>
        <w:tc>
          <w:tcPr>
            <w:tcW w:w="1791" w:type="dxa"/>
          </w:tcPr>
          <w:p w14:paraId="7E10B890" w14:textId="18B27D58" w:rsidR="00DD6B6F" w:rsidRPr="00725863" w:rsidRDefault="00DD6B6F" w:rsidP="00DD6B6F">
            <w:pPr>
              <w:rPr>
                <w:rFonts w:ascii="Arial" w:hAnsi="Arial"/>
                <w:lang w:eastAsia="en-US"/>
              </w:rPr>
            </w:pPr>
            <w:r w:rsidRPr="00725863">
              <w:rPr>
                <w:rFonts w:ascii="Arial" w:hAnsi="Arial"/>
                <w:sz w:val="16"/>
                <w:szCs w:val="16"/>
              </w:rPr>
              <w:t>Pages 1-10</w:t>
            </w:r>
          </w:p>
        </w:tc>
      </w:tr>
      <w:tr w:rsidR="00DD6B6F" w14:paraId="0341B7BA" w14:textId="77777777" w:rsidTr="00725863">
        <w:tc>
          <w:tcPr>
            <w:tcW w:w="2122" w:type="dxa"/>
          </w:tcPr>
          <w:p w14:paraId="44702459" w14:textId="1EC64E05" w:rsidR="00DD6B6F" w:rsidRPr="00725863" w:rsidRDefault="00DD6B6F" w:rsidP="00DD6B6F">
            <w:pPr>
              <w:rPr>
                <w:rFonts w:ascii="Arial" w:hAnsi="Arial"/>
              </w:rPr>
            </w:pPr>
            <w:r w:rsidRPr="00725863">
              <w:rPr>
                <w:rFonts w:ascii="Arial" w:hAnsi="Arial"/>
              </w:rPr>
              <w:t>Non-financial performance</w:t>
            </w:r>
          </w:p>
        </w:tc>
        <w:tc>
          <w:tcPr>
            <w:tcW w:w="3685" w:type="dxa"/>
          </w:tcPr>
          <w:p w14:paraId="1D2F3B08" w14:textId="10F28851" w:rsidR="00DD6B6F" w:rsidRPr="00725863" w:rsidRDefault="00DD6B6F" w:rsidP="00DD6B6F">
            <w:pPr>
              <w:rPr>
                <w:rFonts w:ascii="Arial" w:hAnsi="Arial"/>
              </w:rPr>
            </w:pPr>
            <w:r w:rsidRPr="00725863">
              <w:rPr>
                <w:rFonts w:ascii="Arial" w:hAnsi="Arial"/>
              </w:rPr>
              <w:t>Government’s objectives for the community and whole-of-government plans/specific initiatives</w:t>
            </w:r>
          </w:p>
        </w:tc>
        <w:tc>
          <w:tcPr>
            <w:tcW w:w="2552" w:type="dxa"/>
          </w:tcPr>
          <w:p w14:paraId="37F86D6F" w14:textId="6D8CED98" w:rsidR="00DD6B6F" w:rsidRPr="00725863" w:rsidRDefault="00DD6B6F" w:rsidP="00DD6B6F">
            <w:pPr>
              <w:rPr>
                <w:rFonts w:ascii="Arial" w:hAnsi="Arial"/>
              </w:rPr>
            </w:pPr>
            <w:r w:rsidRPr="00725863">
              <w:rPr>
                <w:rFonts w:ascii="Arial" w:hAnsi="Arial"/>
              </w:rPr>
              <w:t>ARRs – section 11.1</w:t>
            </w:r>
          </w:p>
        </w:tc>
        <w:tc>
          <w:tcPr>
            <w:tcW w:w="1791" w:type="dxa"/>
          </w:tcPr>
          <w:p w14:paraId="4E6BE62B" w14:textId="77777777" w:rsidR="00DD6B6F" w:rsidRPr="00725863" w:rsidRDefault="00DD6B6F" w:rsidP="00DD6B6F">
            <w:pPr>
              <w:spacing w:after="0" w:line="240" w:lineRule="auto"/>
              <w:rPr>
                <w:rFonts w:ascii="Arial" w:hAnsi="Arial"/>
                <w:sz w:val="16"/>
                <w:szCs w:val="16"/>
              </w:rPr>
            </w:pPr>
            <w:r w:rsidRPr="00725863">
              <w:rPr>
                <w:rFonts w:ascii="Arial" w:hAnsi="Arial"/>
                <w:sz w:val="16"/>
                <w:szCs w:val="16"/>
              </w:rPr>
              <w:t>Pages 1, 4, 9, 11-12, 14-16,</w:t>
            </w:r>
          </w:p>
          <w:p w14:paraId="1C69D4E4" w14:textId="77777777" w:rsidR="00DD6B6F" w:rsidRPr="00725863" w:rsidRDefault="00DD6B6F" w:rsidP="00DD6B6F">
            <w:pPr>
              <w:spacing w:after="0" w:line="240" w:lineRule="auto"/>
              <w:rPr>
                <w:rFonts w:ascii="Arial" w:hAnsi="Arial"/>
                <w:sz w:val="16"/>
                <w:szCs w:val="16"/>
              </w:rPr>
            </w:pPr>
            <w:r w:rsidRPr="00725863">
              <w:rPr>
                <w:rFonts w:ascii="Arial" w:hAnsi="Arial"/>
                <w:sz w:val="16"/>
                <w:szCs w:val="16"/>
              </w:rPr>
              <w:t>18, 20, 23-24, 26-28, 30-37,</w:t>
            </w:r>
          </w:p>
          <w:p w14:paraId="508B18C2" w14:textId="2318FD6E" w:rsidR="00DD6B6F" w:rsidRPr="00725863" w:rsidRDefault="00DD6B6F" w:rsidP="00DD6B6F">
            <w:pPr>
              <w:rPr>
                <w:rFonts w:ascii="Arial" w:hAnsi="Arial"/>
                <w:sz w:val="16"/>
                <w:szCs w:val="16"/>
              </w:rPr>
            </w:pPr>
            <w:r w:rsidRPr="00725863">
              <w:rPr>
                <w:rFonts w:ascii="Arial" w:hAnsi="Arial"/>
                <w:sz w:val="16"/>
                <w:szCs w:val="16"/>
              </w:rPr>
              <w:t>39-40, 43-44, 53-55</w:t>
            </w:r>
          </w:p>
        </w:tc>
      </w:tr>
      <w:tr w:rsidR="00DD6B6F" w14:paraId="4B92BB6F" w14:textId="77777777" w:rsidTr="00725863">
        <w:tc>
          <w:tcPr>
            <w:tcW w:w="2122" w:type="dxa"/>
          </w:tcPr>
          <w:p w14:paraId="45F8CBE8" w14:textId="4D63B4FB" w:rsidR="00DD6B6F" w:rsidRPr="00725863" w:rsidRDefault="00725863" w:rsidP="00DD6B6F">
            <w:pPr>
              <w:rPr>
                <w:rFonts w:ascii="Arial" w:hAnsi="Arial"/>
              </w:rPr>
            </w:pPr>
            <w:r w:rsidRPr="00725863">
              <w:rPr>
                <w:rFonts w:ascii="Arial" w:hAnsi="Arial"/>
              </w:rPr>
              <w:t>Non-financial performance</w:t>
            </w:r>
          </w:p>
        </w:tc>
        <w:tc>
          <w:tcPr>
            <w:tcW w:w="3685" w:type="dxa"/>
          </w:tcPr>
          <w:p w14:paraId="74B34DAF" w14:textId="4200E892" w:rsidR="00DD6B6F" w:rsidRPr="00725863" w:rsidRDefault="00DD6B6F" w:rsidP="00DD6B6F">
            <w:pPr>
              <w:rPr>
                <w:rFonts w:ascii="Arial" w:hAnsi="Arial"/>
              </w:rPr>
            </w:pPr>
            <w:r w:rsidRPr="00725863">
              <w:rPr>
                <w:rFonts w:ascii="Arial" w:hAnsi="Arial"/>
              </w:rPr>
              <w:t>Agency objectives and performance indicators</w:t>
            </w:r>
          </w:p>
        </w:tc>
        <w:tc>
          <w:tcPr>
            <w:tcW w:w="2552" w:type="dxa"/>
          </w:tcPr>
          <w:p w14:paraId="1DB81A94" w14:textId="4D3C6202" w:rsidR="00DD6B6F" w:rsidRPr="00725863" w:rsidRDefault="00DD6B6F" w:rsidP="00DD6B6F">
            <w:pPr>
              <w:rPr>
                <w:rFonts w:ascii="Arial" w:hAnsi="Arial"/>
              </w:rPr>
            </w:pPr>
            <w:r w:rsidRPr="00725863">
              <w:rPr>
                <w:rFonts w:ascii="Arial" w:hAnsi="Arial"/>
              </w:rPr>
              <w:t>ARRs – section 11.2</w:t>
            </w:r>
          </w:p>
        </w:tc>
        <w:tc>
          <w:tcPr>
            <w:tcW w:w="1791" w:type="dxa"/>
          </w:tcPr>
          <w:p w14:paraId="56E71E11" w14:textId="77777777" w:rsidR="00DD6B6F" w:rsidRPr="00725863" w:rsidRDefault="00DD6B6F" w:rsidP="00DD6B6F">
            <w:pPr>
              <w:spacing w:after="0" w:line="240" w:lineRule="auto"/>
              <w:rPr>
                <w:rFonts w:ascii="Arial" w:hAnsi="Arial"/>
                <w:sz w:val="16"/>
                <w:szCs w:val="16"/>
              </w:rPr>
            </w:pPr>
            <w:r w:rsidRPr="00725863">
              <w:rPr>
                <w:rFonts w:ascii="Arial" w:hAnsi="Arial"/>
                <w:sz w:val="16"/>
                <w:szCs w:val="16"/>
              </w:rPr>
              <w:t>Pages 11, 13-15, 17-18, 20-21,</w:t>
            </w:r>
          </w:p>
          <w:p w14:paraId="7B795EE5" w14:textId="77777777" w:rsidR="00DD6B6F" w:rsidRPr="00725863" w:rsidRDefault="00DD6B6F" w:rsidP="00DD6B6F">
            <w:pPr>
              <w:spacing w:after="0" w:line="240" w:lineRule="auto"/>
              <w:rPr>
                <w:rFonts w:ascii="Arial" w:hAnsi="Arial"/>
                <w:sz w:val="16"/>
                <w:szCs w:val="16"/>
              </w:rPr>
            </w:pPr>
            <w:r w:rsidRPr="00725863">
              <w:rPr>
                <w:rFonts w:ascii="Arial" w:hAnsi="Arial"/>
                <w:sz w:val="16"/>
                <w:szCs w:val="16"/>
              </w:rPr>
              <w:t>25, 29, 34, 36-37, 41, 43, 45,</w:t>
            </w:r>
          </w:p>
          <w:p w14:paraId="3AE057BD" w14:textId="7A3A6688" w:rsidR="00DD6B6F" w:rsidRPr="00725863" w:rsidRDefault="00DD6B6F" w:rsidP="00DD6B6F">
            <w:pPr>
              <w:rPr>
                <w:rFonts w:ascii="Arial" w:hAnsi="Arial"/>
                <w:sz w:val="16"/>
                <w:szCs w:val="16"/>
              </w:rPr>
            </w:pPr>
            <w:r w:rsidRPr="00725863">
              <w:rPr>
                <w:rFonts w:ascii="Arial" w:hAnsi="Arial"/>
                <w:sz w:val="16"/>
                <w:szCs w:val="16"/>
              </w:rPr>
              <w:t>62-66</w:t>
            </w:r>
          </w:p>
        </w:tc>
      </w:tr>
      <w:tr w:rsidR="00DD6B6F" w14:paraId="608225A2" w14:textId="77777777" w:rsidTr="00725863">
        <w:tc>
          <w:tcPr>
            <w:tcW w:w="2122" w:type="dxa"/>
          </w:tcPr>
          <w:p w14:paraId="2F709292" w14:textId="0522F1E1" w:rsidR="00DD6B6F" w:rsidRPr="00725863" w:rsidRDefault="00725863" w:rsidP="00DD6B6F">
            <w:pPr>
              <w:rPr>
                <w:rFonts w:ascii="Arial" w:hAnsi="Arial"/>
              </w:rPr>
            </w:pPr>
            <w:r w:rsidRPr="00725863">
              <w:rPr>
                <w:rFonts w:ascii="Arial" w:hAnsi="Arial"/>
              </w:rPr>
              <w:t>Non-financial performance</w:t>
            </w:r>
          </w:p>
        </w:tc>
        <w:tc>
          <w:tcPr>
            <w:tcW w:w="3685" w:type="dxa"/>
          </w:tcPr>
          <w:p w14:paraId="0CB3AAE2" w14:textId="3BC7F4CE" w:rsidR="00DD6B6F" w:rsidRPr="00725863" w:rsidRDefault="00DD6B6F" w:rsidP="00DD6B6F">
            <w:pPr>
              <w:rPr>
                <w:rFonts w:ascii="Arial" w:hAnsi="Arial"/>
              </w:rPr>
            </w:pPr>
            <w:r w:rsidRPr="00725863">
              <w:rPr>
                <w:rFonts w:ascii="Arial" w:hAnsi="Arial"/>
              </w:rPr>
              <w:t>Agency service areas and service standards</w:t>
            </w:r>
          </w:p>
        </w:tc>
        <w:tc>
          <w:tcPr>
            <w:tcW w:w="2552" w:type="dxa"/>
          </w:tcPr>
          <w:p w14:paraId="63AF4A49" w14:textId="56CCF734" w:rsidR="00DD6B6F" w:rsidRPr="00725863" w:rsidRDefault="00DD6B6F" w:rsidP="00DD6B6F">
            <w:pPr>
              <w:rPr>
                <w:rFonts w:ascii="Arial" w:hAnsi="Arial"/>
              </w:rPr>
            </w:pPr>
            <w:r w:rsidRPr="00725863">
              <w:rPr>
                <w:rFonts w:ascii="Arial" w:hAnsi="Arial"/>
              </w:rPr>
              <w:t>ARRs – section 11.3</w:t>
            </w:r>
          </w:p>
        </w:tc>
        <w:tc>
          <w:tcPr>
            <w:tcW w:w="1791" w:type="dxa"/>
          </w:tcPr>
          <w:p w14:paraId="56C1B679" w14:textId="29E415C9" w:rsidR="00DD6B6F" w:rsidRPr="00725863" w:rsidRDefault="00DD6B6F" w:rsidP="00DD6B6F">
            <w:pPr>
              <w:rPr>
                <w:rFonts w:ascii="Arial" w:hAnsi="Arial"/>
                <w:sz w:val="16"/>
                <w:szCs w:val="16"/>
              </w:rPr>
            </w:pPr>
            <w:r w:rsidRPr="00725863">
              <w:rPr>
                <w:rFonts w:ascii="Arial" w:hAnsi="Arial"/>
                <w:sz w:val="16"/>
                <w:szCs w:val="16"/>
              </w:rPr>
              <w:t>Pages 62-66</w:t>
            </w:r>
          </w:p>
        </w:tc>
      </w:tr>
      <w:tr w:rsidR="00DD6B6F" w14:paraId="52DD4376" w14:textId="77777777" w:rsidTr="00725863">
        <w:tc>
          <w:tcPr>
            <w:tcW w:w="2122" w:type="dxa"/>
          </w:tcPr>
          <w:p w14:paraId="32CE3BD8" w14:textId="60474A14" w:rsidR="00DD6B6F" w:rsidRPr="00725863" w:rsidRDefault="00DD6B6F" w:rsidP="00DD6B6F">
            <w:pPr>
              <w:rPr>
                <w:rFonts w:ascii="Arial" w:hAnsi="Arial"/>
              </w:rPr>
            </w:pPr>
            <w:r w:rsidRPr="00725863">
              <w:rPr>
                <w:rFonts w:ascii="Arial" w:hAnsi="Arial"/>
              </w:rPr>
              <w:t>Financial performance</w:t>
            </w:r>
          </w:p>
        </w:tc>
        <w:tc>
          <w:tcPr>
            <w:tcW w:w="3685" w:type="dxa"/>
          </w:tcPr>
          <w:p w14:paraId="2CDA9FAB" w14:textId="52532FFC" w:rsidR="00DD6B6F" w:rsidRPr="00725863" w:rsidRDefault="00DD6B6F" w:rsidP="00DD6B6F">
            <w:pPr>
              <w:rPr>
                <w:rFonts w:ascii="Arial" w:hAnsi="Arial"/>
              </w:rPr>
            </w:pPr>
            <w:r w:rsidRPr="00725863">
              <w:rPr>
                <w:rFonts w:ascii="Arial" w:hAnsi="Arial"/>
              </w:rPr>
              <w:t>Summary of financial performance</w:t>
            </w:r>
          </w:p>
        </w:tc>
        <w:tc>
          <w:tcPr>
            <w:tcW w:w="2552" w:type="dxa"/>
          </w:tcPr>
          <w:p w14:paraId="5A2C2090" w14:textId="5B914F59" w:rsidR="00DD6B6F" w:rsidRPr="00725863" w:rsidRDefault="00DD6B6F" w:rsidP="00DD6B6F">
            <w:pPr>
              <w:rPr>
                <w:rFonts w:ascii="Arial" w:hAnsi="Arial"/>
              </w:rPr>
            </w:pPr>
            <w:r w:rsidRPr="00725863">
              <w:rPr>
                <w:rFonts w:ascii="Arial" w:hAnsi="Arial"/>
              </w:rPr>
              <w:t>ARRs – section 12.1</w:t>
            </w:r>
          </w:p>
        </w:tc>
        <w:tc>
          <w:tcPr>
            <w:tcW w:w="1791" w:type="dxa"/>
          </w:tcPr>
          <w:p w14:paraId="69EA0C0D" w14:textId="7D26B5F9" w:rsidR="00DD6B6F" w:rsidRPr="00725863" w:rsidRDefault="00DD6B6F" w:rsidP="00DD6B6F">
            <w:pPr>
              <w:rPr>
                <w:rFonts w:ascii="Arial" w:hAnsi="Arial"/>
                <w:sz w:val="16"/>
                <w:szCs w:val="16"/>
              </w:rPr>
            </w:pPr>
            <w:r w:rsidRPr="00725863">
              <w:rPr>
                <w:rFonts w:ascii="Arial" w:hAnsi="Arial"/>
                <w:sz w:val="16"/>
                <w:szCs w:val="16"/>
              </w:rPr>
              <w:t>Pages 51-52</w:t>
            </w:r>
          </w:p>
        </w:tc>
      </w:tr>
      <w:tr w:rsidR="00DD6B6F" w14:paraId="536EF997" w14:textId="77777777" w:rsidTr="00725863">
        <w:tc>
          <w:tcPr>
            <w:tcW w:w="2122" w:type="dxa"/>
          </w:tcPr>
          <w:p w14:paraId="585AA5DB" w14:textId="2EED512F" w:rsidR="00DD6B6F" w:rsidRPr="00725863" w:rsidRDefault="00DD6B6F" w:rsidP="00DD6B6F">
            <w:pPr>
              <w:rPr>
                <w:rFonts w:ascii="Arial" w:hAnsi="Arial"/>
              </w:rPr>
            </w:pPr>
            <w:r w:rsidRPr="00725863">
              <w:rPr>
                <w:rFonts w:ascii="Arial" w:hAnsi="Arial"/>
              </w:rPr>
              <w:t>Governance – management and structure</w:t>
            </w:r>
          </w:p>
        </w:tc>
        <w:tc>
          <w:tcPr>
            <w:tcW w:w="3685" w:type="dxa"/>
          </w:tcPr>
          <w:p w14:paraId="28999C66" w14:textId="27F7921D" w:rsidR="00DD6B6F" w:rsidRPr="00725863" w:rsidRDefault="00DD6B6F" w:rsidP="00DD6B6F">
            <w:pPr>
              <w:rPr>
                <w:rFonts w:ascii="Arial" w:hAnsi="Arial"/>
              </w:rPr>
            </w:pPr>
            <w:r w:rsidRPr="00725863">
              <w:rPr>
                <w:rFonts w:ascii="Arial" w:hAnsi="Arial"/>
              </w:rPr>
              <w:t>Organisational structure</w:t>
            </w:r>
          </w:p>
        </w:tc>
        <w:tc>
          <w:tcPr>
            <w:tcW w:w="2552" w:type="dxa"/>
          </w:tcPr>
          <w:p w14:paraId="2811C6BA" w14:textId="3A69C369" w:rsidR="00DD6B6F" w:rsidRPr="00725863" w:rsidRDefault="00DD6B6F" w:rsidP="00DD6B6F">
            <w:pPr>
              <w:rPr>
                <w:rFonts w:ascii="Arial" w:hAnsi="Arial"/>
              </w:rPr>
            </w:pPr>
            <w:r w:rsidRPr="00725863">
              <w:rPr>
                <w:rFonts w:ascii="Arial" w:hAnsi="Arial"/>
              </w:rPr>
              <w:t>ARRs – section 13.1</w:t>
            </w:r>
          </w:p>
        </w:tc>
        <w:tc>
          <w:tcPr>
            <w:tcW w:w="1791" w:type="dxa"/>
          </w:tcPr>
          <w:p w14:paraId="4D01A6F6" w14:textId="559D887F" w:rsidR="00DD6B6F" w:rsidRPr="00725863" w:rsidRDefault="00DD6B6F" w:rsidP="00DD6B6F">
            <w:pPr>
              <w:rPr>
                <w:rFonts w:ascii="Arial" w:hAnsi="Arial"/>
                <w:sz w:val="16"/>
                <w:szCs w:val="16"/>
              </w:rPr>
            </w:pPr>
            <w:r w:rsidRPr="00725863">
              <w:rPr>
                <w:rFonts w:ascii="Arial" w:hAnsi="Arial"/>
                <w:sz w:val="16"/>
                <w:szCs w:val="16"/>
              </w:rPr>
              <w:t>Page 5</w:t>
            </w:r>
          </w:p>
        </w:tc>
      </w:tr>
      <w:tr w:rsidR="00DD6B6F" w14:paraId="5D64A424" w14:textId="77777777" w:rsidTr="00725863">
        <w:tc>
          <w:tcPr>
            <w:tcW w:w="2122" w:type="dxa"/>
          </w:tcPr>
          <w:p w14:paraId="4C151085" w14:textId="19691B78" w:rsidR="00DD6B6F" w:rsidRPr="00725863" w:rsidRDefault="00725863" w:rsidP="00DD6B6F">
            <w:pPr>
              <w:rPr>
                <w:rFonts w:ascii="Arial" w:hAnsi="Arial"/>
              </w:rPr>
            </w:pPr>
            <w:r w:rsidRPr="00725863">
              <w:rPr>
                <w:rFonts w:ascii="Arial" w:hAnsi="Arial"/>
              </w:rPr>
              <w:t>Governance – management and structure</w:t>
            </w:r>
          </w:p>
        </w:tc>
        <w:tc>
          <w:tcPr>
            <w:tcW w:w="3685" w:type="dxa"/>
          </w:tcPr>
          <w:p w14:paraId="5F278C3E" w14:textId="3D8C7531" w:rsidR="00DD6B6F" w:rsidRPr="00725863" w:rsidRDefault="00DD6B6F" w:rsidP="00DD6B6F">
            <w:pPr>
              <w:rPr>
                <w:rFonts w:ascii="Arial" w:hAnsi="Arial"/>
              </w:rPr>
            </w:pPr>
            <w:r w:rsidRPr="00725863">
              <w:rPr>
                <w:rFonts w:ascii="Arial" w:hAnsi="Arial"/>
              </w:rPr>
              <w:t>Executive management</w:t>
            </w:r>
          </w:p>
        </w:tc>
        <w:tc>
          <w:tcPr>
            <w:tcW w:w="2552" w:type="dxa"/>
          </w:tcPr>
          <w:p w14:paraId="0B3BFCC5" w14:textId="46068079" w:rsidR="00DD6B6F" w:rsidRPr="00725863" w:rsidRDefault="00DD6B6F" w:rsidP="00DD6B6F">
            <w:pPr>
              <w:rPr>
                <w:rFonts w:ascii="Arial" w:hAnsi="Arial"/>
              </w:rPr>
            </w:pPr>
            <w:r w:rsidRPr="00725863">
              <w:rPr>
                <w:rFonts w:ascii="Arial" w:hAnsi="Arial"/>
              </w:rPr>
              <w:t>ARRs – section 13.2</w:t>
            </w:r>
          </w:p>
        </w:tc>
        <w:tc>
          <w:tcPr>
            <w:tcW w:w="1791" w:type="dxa"/>
          </w:tcPr>
          <w:p w14:paraId="175CC7AB" w14:textId="15C2071E" w:rsidR="00DD6B6F" w:rsidRPr="00725863" w:rsidRDefault="00DD6B6F" w:rsidP="00DD6B6F">
            <w:pPr>
              <w:rPr>
                <w:rFonts w:ascii="Arial" w:hAnsi="Arial"/>
                <w:sz w:val="16"/>
                <w:szCs w:val="16"/>
              </w:rPr>
            </w:pPr>
            <w:r w:rsidRPr="00725863">
              <w:rPr>
                <w:rFonts w:ascii="Arial" w:hAnsi="Arial"/>
                <w:sz w:val="16"/>
                <w:szCs w:val="16"/>
              </w:rPr>
              <w:t>Pages 6-9</w:t>
            </w:r>
          </w:p>
        </w:tc>
      </w:tr>
      <w:tr w:rsidR="00DD6B6F" w14:paraId="335E5897" w14:textId="77777777" w:rsidTr="00725863">
        <w:tc>
          <w:tcPr>
            <w:tcW w:w="2122" w:type="dxa"/>
          </w:tcPr>
          <w:p w14:paraId="38CEE59E" w14:textId="6429B72A" w:rsidR="00DD6B6F" w:rsidRPr="00725863" w:rsidRDefault="00725863" w:rsidP="00DD6B6F">
            <w:pPr>
              <w:rPr>
                <w:rFonts w:ascii="Arial" w:hAnsi="Arial"/>
              </w:rPr>
            </w:pPr>
            <w:r w:rsidRPr="00725863">
              <w:rPr>
                <w:rFonts w:ascii="Arial" w:hAnsi="Arial"/>
              </w:rPr>
              <w:t>Governance – management and structure</w:t>
            </w:r>
          </w:p>
        </w:tc>
        <w:tc>
          <w:tcPr>
            <w:tcW w:w="3685" w:type="dxa"/>
          </w:tcPr>
          <w:p w14:paraId="744BB0D1" w14:textId="0C256D58" w:rsidR="00DD6B6F" w:rsidRPr="00725863" w:rsidRDefault="00DD6B6F" w:rsidP="00DD6B6F">
            <w:pPr>
              <w:rPr>
                <w:rFonts w:ascii="Arial" w:hAnsi="Arial"/>
              </w:rPr>
            </w:pPr>
            <w:r w:rsidRPr="00725863">
              <w:rPr>
                <w:rFonts w:ascii="Arial" w:hAnsi="Arial"/>
              </w:rPr>
              <w:t>Government bodies (statutory bodies and other entities)</w:t>
            </w:r>
          </w:p>
        </w:tc>
        <w:tc>
          <w:tcPr>
            <w:tcW w:w="2552" w:type="dxa"/>
          </w:tcPr>
          <w:p w14:paraId="16CB3AA3" w14:textId="15C2B648" w:rsidR="00DD6B6F" w:rsidRPr="00725863" w:rsidRDefault="00DD6B6F" w:rsidP="00DD6B6F">
            <w:pPr>
              <w:rPr>
                <w:rFonts w:ascii="Arial" w:hAnsi="Arial"/>
              </w:rPr>
            </w:pPr>
            <w:r w:rsidRPr="00725863">
              <w:rPr>
                <w:rFonts w:ascii="Arial" w:hAnsi="Arial"/>
              </w:rPr>
              <w:t>ARRs – section 13.3</w:t>
            </w:r>
          </w:p>
        </w:tc>
        <w:tc>
          <w:tcPr>
            <w:tcW w:w="1791" w:type="dxa"/>
          </w:tcPr>
          <w:p w14:paraId="0D954AAC" w14:textId="14F59B29" w:rsidR="00DD6B6F" w:rsidRPr="00725863" w:rsidRDefault="00725863" w:rsidP="00DD6B6F">
            <w:pPr>
              <w:rPr>
                <w:rFonts w:ascii="Arial" w:hAnsi="Arial"/>
                <w:sz w:val="16"/>
                <w:szCs w:val="16"/>
              </w:rPr>
            </w:pPr>
            <w:r w:rsidRPr="00725863">
              <w:rPr>
                <w:rFonts w:ascii="Arial" w:hAnsi="Arial"/>
                <w:sz w:val="16"/>
                <w:szCs w:val="16"/>
              </w:rPr>
              <w:t>Pages 67-70</w:t>
            </w:r>
          </w:p>
        </w:tc>
      </w:tr>
      <w:tr w:rsidR="00DD6B6F" w14:paraId="2E3A5A67" w14:textId="77777777" w:rsidTr="00725863">
        <w:tc>
          <w:tcPr>
            <w:tcW w:w="2122" w:type="dxa"/>
          </w:tcPr>
          <w:p w14:paraId="7479FCF4" w14:textId="2F64B59A" w:rsidR="00DD6B6F" w:rsidRPr="00725863" w:rsidRDefault="00725863" w:rsidP="00DD6B6F">
            <w:pPr>
              <w:rPr>
                <w:rFonts w:ascii="Arial" w:hAnsi="Arial"/>
              </w:rPr>
            </w:pPr>
            <w:r w:rsidRPr="00725863">
              <w:rPr>
                <w:rFonts w:ascii="Arial" w:hAnsi="Arial"/>
              </w:rPr>
              <w:t>Governance – management and structure</w:t>
            </w:r>
          </w:p>
        </w:tc>
        <w:tc>
          <w:tcPr>
            <w:tcW w:w="3685" w:type="dxa"/>
          </w:tcPr>
          <w:p w14:paraId="06EA1C52" w14:textId="4C99BB00" w:rsidR="00DD6B6F" w:rsidRPr="00725863" w:rsidRDefault="00725863" w:rsidP="00DD6B6F">
            <w:pPr>
              <w:rPr>
                <w:rFonts w:ascii="Arial" w:hAnsi="Arial"/>
              </w:rPr>
            </w:pPr>
            <w:r w:rsidRPr="00725863">
              <w:rPr>
                <w:rFonts w:ascii="Arial" w:hAnsi="Arial"/>
              </w:rPr>
              <w:t>Public Sector Ethics</w:t>
            </w:r>
          </w:p>
        </w:tc>
        <w:tc>
          <w:tcPr>
            <w:tcW w:w="2552" w:type="dxa"/>
          </w:tcPr>
          <w:p w14:paraId="7F43FDD2" w14:textId="77777777" w:rsidR="00725863" w:rsidRPr="00725863" w:rsidRDefault="00725863" w:rsidP="00725863">
            <w:pPr>
              <w:rPr>
                <w:rFonts w:ascii="Arial" w:hAnsi="Arial"/>
                <w:i/>
                <w:iCs/>
              </w:rPr>
            </w:pPr>
            <w:r w:rsidRPr="00725863">
              <w:rPr>
                <w:rFonts w:ascii="Arial" w:hAnsi="Arial"/>
                <w:i/>
                <w:iCs/>
              </w:rPr>
              <w:t>Public Sector Ethics Act 1994</w:t>
            </w:r>
          </w:p>
          <w:p w14:paraId="5E4D3D0B" w14:textId="6E6D5F51" w:rsidR="00DD6B6F" w:rsidRPr="00725863" w:rsidRDefault="00725863" w:rsidP="00725863">
            <w:pPr>
              <w:rPr>
                <w:rFonts w:ascii="Arial" w:hAnsi="Arial"/>
              </w:rPr>
            </w:pPr>
            <w:r w:rsidRPr="00725863">
              <w:rPr>
                <w:rFonts w:ascii="Arial" w:hAnsi="Arial"/>
              </w:rPr>
              <w:t>ARRs – section 13.4</w:t>
            </w:r>
          </w:p>
        </w:tc>
        <w:tc>
          <w:tcPr>
            <w:tcW w:w="1791" w:type="dxa"/>
          </w:tcPr>
          <w:p w14:paraId="542BC53B" w14:textId="63236FC2" w:rsidR="00DD6B6F" w:rsidRPr="00725863" w:rsidRDefault="00725863" w:rsidP="00DD6B6F">
            <w:pPr>
              <w:rPr>
                <w:rFonts w:ascii="Arial" w:hAnsi="Arial"/>
                <w:sz w:val="16"/>
                <w:szCs w:val="16"/>
              </w:rPr>
            </w:pPr>
            <w:r w:rsidRPr="00725863">
              <w:rPr>
                <w:rFonts w:ascii="Arial" w:hAnsi="Arial"/>
                <w:sz w:val="16"/>
                <w:szCs w:val="16"/>
              </w:rPr>
              <w:t>Page 45</w:t>
            </w:r>
          </w:p>
        </w:tc>
      </w:tr>
      <w:tr w:rsidR="00725863" w14:paraId="5AA3A13E" w14:textId="77777777" w:rsidTr="00725863">
        <w:tc>
          <w:tcPr>
            <w:tcW w:w="2122" w:type="dxa"/>
          </w:tcPr>
          <w:p w14:paraId="5ECFFA44" w14:textId="4597ABA3" w:rsidR="00725863" w:rsidRPr="00725863" w:rsidRDefault="00725863" w:rsidP="00725863">
            <w:pPr>
              <w:rPr>
                <w:rFonts w:ascii="Arial" w:hAnsi="Arial"/>
              </w:rPr>
            </w:pPr>
            <w:r w:rsidRPr="00725863">
              <w:rPr>
                <w:rFonts w:ascii="Arial" w:hAnsi="Arial"/>
              </w:rPr>
              <w:t>Governance – management and structure</w:t>
            </w:r>
          </w:p>
        </w:tc>
        <w:tc>
          <w:tcPr>
            <w:tcW w:w="3685" w:type="dxa"/>
          </w:tcPr>
          <w:p w14:paraId="6BC0DC3D" w14:textId="050E09F0" w:rsidR="00725863" w:rsidRPr="00725863" w:rsidRDefault="00725863" w:rsidP="00725863">
            <w:pPr>
              <w:rPr>
                <w:rFonts w:ascii="Arial" w:hAnsi="Arial"/>
              </w:rPr>
            </w:pPr>
            <w:r w:rsidRPr="00725863">
              <w:rPr>
                <w:rFonts w:ascii="Arial" w:hAnsi="Arial"/>
              </w:rPr>
              <w:t>Human Rights</w:t>
            </w:r>
          </w:p>
        </w:tc>
        <w:tc>
          <w:tcPr>
            <w:tcW w:w="2552" w:type="dxa"/>
          </w:tcPr>
          <w:p w14:paraId="15762CFB" w14:textId="77777777" w:rsidR="00725863" w:rsidRPr="00725863" w:rsidRDefault="00725863" w:rsidP="00725863">
            <w:pPr>
              <w:rPr>
                <w:rFonts w:ascii="Arial" w:hAnsi="Arial"/>
                <w:i/>
                <w:iCs/>
              </w:rPr>
            </w:pPr>
            <w:r w:rsidRPr="00725863">
              <w:rPr>
                <w:rFonts w:ascii="Arial" w:hAnsi="Arial"/>
                <w:i/>
                <w:iCs/>
              </w:rPr>
              <w:t>Human Rights Act 2019</w:t>
            </w:r>
          </w:p>
          <w:p w14:paraId="60CE12AF" w14:textId="71A84311" w:rsidR="00725863" w:rsidRPr="00725863" w:rsidRDefault="00725863" w:rsidP="00725863">
            <w:pPr>
              <w:rPr>
                <w:rFonts w:ascii="Arial" w:hAnsi="Arial"/>
                <w:i/>
                <w:iCs/>
              </w:rPr>
            </w:pPr>
            <w:r w:rsidRPr="00725863">
              <w:rPr>
                <w:rFonts w:ascii="Arial" w:hAnsi="Arial"/>
              </w:rPr>
              <w:t>ARRs – section 13.5</w:t>
            </w:r>
          </w:p>
        </w:tc>
        <w:tc>
          <w:tcPr>
            <w:tcW w:w="1791" w:type="dxa"/>
          </w:tcPr>
          <w:p w14:paraId="5CAFAD99" w14:textId="77AEBDD2" w:rsidR="00725863" w:rsidRPr="00725863" w:rsidRDefault="00725863" w:rsidP="00725863">
            <w:pPr>
              <w:rPr>
                <w:rFonts w:ascii="Arial" w:hAnsi="Arial"/>
                <w:sz w:val="16"/>
                <w:szCs w:val="16"/>
              </w:rPr>
            </w:pPr>
            <w:r w:rsidRPr="00725863">
              <w:rPr>
                <w:rFonts w:ascii="Arial" w:hAnsi="Arial"/>
                <w:sz w:val="16"/>
                <w:szCs w:val="16"/>
              </w:rPr>
              <w:t>Pages 47-49</w:t>
            </w:r>
          </w:p>
        </w:tc>
      </w:tr>
      <w:tr w:rsidR="00725863" w14:paraId="66CC0AEF" w14:textId="77777777" w:rsidTr="00725863">
        <w:tc>
          <w:tcPr>
            <w:tcW w:w="2122" w:type="dxa"/>
          </w:tcPr>
          <w:p w14:paraId="0273A8F7" w14:textId="66A06C1F" w:rsidR="00725863" w:rsidRPr="00725863" w:rsidRDefault="00725863" w:rsidP="00725863">
            <w:pPr>
              <w:rPr>
                <w:rFonts w:ascii="Arial" w:hAnsi="Arial"/>
              </w:rPr>
            </w:pPr>
            <w:r w:rsidRPr="00725863">
              <w:rPr>
                <w:rFonts w:ascii="Arial" w:hAnsi="Arial"/>
              </w:rPr>
              <w:t>Governance – management and structure</w:t>
            </w:r>
          </w:p>
        </w:tc>
        <w:tc>
          <w:tcPr>
            <w:tcW w:w="3685" w:type="dxa"/>
          </w:tcPr>
          <w:p w14:paraId="2A25B47E" w14:textId="61840417" w:rsidR="00725863" w:rsidRPr="00725863" w:rsidRDefault="00725863" w:rsidP="00725863">
            <w:pPr>
              <w:rPr>
                <w:rFonts w:ascii="Arial" w:hAnsi="Arial"/>
              </w:rPr>
            </w:pPr>
            <w:r w:rsidRPr="00725863">
              <w:rPr>
                <w:rFonts w:ascii="Arial" w:hAnsi="Arial"/>
              </w:rPr>
              <w:t>Queensland public service values</w:t>
            </w:r>
          </w:p>
        </w:tc>
        <w:tc>
          <w:tcPr>
            <w:tcW w:w="2552" w:type="dxa"/>
          </w:tcPr>
          <w:p w14:paraId="038A186D" w14:textId="50770A05" w:rsidR="00725863" w:rsidRPr="00725863" w:rsidRDefault="00725863" w:rsidP="00725863">
            <w:pPr>
              <w:rPr>
                <w:rFonts w:ascii="Arial" w:hAnsi="Arial"/>
                <w:i/>
                <w:iCs/>
              </w:rPr>
            </w:pPr>
            <w:r w:rsidRPr="00725863">
              <w:rPr>
                <w:rFonts w:ascii="Arial" w:hAnsi="Arial"/>
              </w:rPr>
              <w:t>ARRs – section 13.6</w:t>
            </w:r>
          </w:p>
        </w:tc>
        <w:tc>
          <w:tcPr>
            <w:tcW w:w="1791" w:type="dxa"/>
          </w:tcPr>
          <w:p w14:paraId="63D7BF20" w14:textId="7E4D56F8" w:rsidR="00725863" w:rsidRPr="00725863" w:rsidRDefault="00725863" w:rsidP="00725863">
            <w:pPr>
              <w:rPr>
                <w:rFonts w:ascii="Arial" w:hAnsi="Arial"/>
                <w:sz w:val="16"/>
                <w:szCs w:val="16"/>
              </w:rPr>
            </w:pPr>
            <w:r w:rsidRPr="00725863">
              <w:rPr>
                <w:rFonts w:ascii="Arial" w:hAnsi="Arial"/>
                <w:sz w:val="16"/>
                <w:szCs w:val="16"/>
              </w:rPr>
              <w:t>Page 4</w:t>
            </w:r>
          </w:p>
        </w:tc>
      </w:tr>
      <w:tr w:rsidR="00725863" w14:paraId="5CC3CAAC" w14:textId="77777777" w:rsidTr="00725863">
        <w:tc>
          <w:tcPr>
            <w:tcW w:w="2122" w:type="dxa"/>
          </w:tcPr>
          <w:p w14:paraId="2B87CF16" w14:textId="529FDEB4" w:rsidR="00725863" w:rsidRPr="00725863" w:rsidRDefault="00725863" w:rsidP="00725863">
            <w:pPr>
              <w:rPr>
                <w:rFonts w:ascii="Arial" w:hAnsi="Arial"/>
              </w:rPr>
            </w:pPr>
            <w:r w:rsidRPr="00725863">
              <w:rPr>
                <w:rFonts w:ascii="Arial" w:hAnsi="Arial"/>
              </w:rPr>
              <w:lastRenderedPageBreak/>
              <w:t>Governance – risk management and accountability</w:t>
            </w:r>
          </w:p>
        </w:tc>
        <w:tc>
          <w:tcPr>
            <w:tcW w:w="3685" w:type="dxa"/>
          </w:tcPr>
          <w:p w14:paraId="1420510B" w14:textId="1D4205E5" w:rsidR="00725863" w:rsidRPr="00725863" w:rsidRDefault="00725863" w:rsidP="00725863">
            <w:pPr>
              <w:rPr>
                <w:rFonts w:ascii="Arial" w:hAnsi="Arial"/>
              </w:rPr>
            </w:pPr>
            <w:r w:rsidRPr="00725863">
              <w:rPr>
                <w:rFonts w:ascii="Arial" w:hAnsi="Arial"/>
              </w:rPr>
              <w:t>Risk management</w:t>
            </w:r>
          </w:p>
        </w:tc>
        <w:tc>
          <w:tcPr>
            <w:tcW w:w="2552" w:type="dxa"/>
          </w:tcPr>
          <w:p w14:paraId="36D1C280" w14:textId="4A164A88" w:rsidR="00725863" w:rsidRPr="00725863" w:rsidRDefault="00725863" w:rsidP="00725863">
            <w:pPr>
              <w:rPr>
                <w:rFonts w:ascii="Arial" w:hAnsi="Arial"/>
                <w:i/>
                <w:iCs/>
              </w:rPr>
            </w:pPr>
            <w:r w:rsidRPr="00725863">
              <w:rPr>
                <w:rFonts w:ascii="Arial" w:hAnsi="Arial"/>
              </w:rPr>
              <w:t>ARRs – section 14.1</w:t>
            </w:r>
          </w:p>
        </w:tc>
        <w:tc>
          <w:tcPr>
            <w:tcW w:w="1791" w:type="dxa"/>
          </w:tcPr>
          <w:p w14:paraId="281F887C" w14:textId="579CE92B" w:rsidR="00725863" w:rsidRPr="00725863" w:rsidRDefault="00725863" w:rsidP="00725863">
            <w:pPr>
              <w:rPr>
                <w:rFonts w:ascii="Arial" w:hAnsi="Arial"/>
                <w:sz w:val="16"/>
                <w:szCs w:val="16"/>
              </w:rPr>
            </w:pPr>
            <w:r w:rsidRPr="00725863">
              <w:rPr>
                <w:rFonts w:ascii="Arial" w:hAnsi="Arial"/>
                <w:sz w:val="16"/>
                <w:szCs w:val="16"/>
              </w:rPr>
              <w:t>Page 46</w:t>
            </w:r>
          </w:p>
        </w:tc>
      </w:tr>
      <w:tr w:rsidR="00725863" w14:paraId="1E151371" w14:textId="77777777" w:rsidTr="00725863">
        <w:tc>
          <w:tcPr>
            <w:tcW w:w="2122" w:type="dxa"/>
          </w:tcPr>
          <w:p w14:paraId="0522DBB9" w14:textId="77B98A4B" w:rsidR="00725863" w:rsidRPr="00725863" w:rsidRDefault="00725863" w:rsidP="00725863">
            <w:pPr>
              <w:rPr>
                <w:rFonts w:ascii="Arial" w:hAnsi="Arial"/>
              </w:rPr>
            </w:pPr>
            <w:r w:rsidRPr="00725863">
              <w:rPr>
                <w:rFonts w:ascii="Arial" w:hAnsi="Arial"/>
              </w:rPr>
              <w:t>Governance – risk management and accountability</w:t>
            </w:r>
          </w:p>
        </w:tc>
        <w:tc>
          <w:tcPr>
            <w:tcW w:w="3685" w:type="dxa"/>
          </w:tcPr>
          <w:p w14:paraId="2553EBF3" w14:textId="5CCD4863" w:rsidR="00725863" w:rsidRPr="00725863" w:rsidRDefault="00725863" w:rsidP="00725863">
            <w:pPr>
              <w:rPr>
                <w:rFonts w:ascii="Arial" w:hAnsi="Arial"/>
              </w:rPr>
            </w:pPr>
            <w:r w:rsidRPr="00725863">
              <w:rPr>
                <w:rFonts w:ascii="Arial" w:hAnsi="Arial"/>
              </w:rPr>
              <w:t>Audit committee</w:t>
            </w:r>
          </w:p>
        </w:tc>
        <w:tc>
          <w:tcPr>
            <w:tcW w:w="2552" w:type="dxa"/>
          </w:tcPr>
          <w:p w14:paraId="1F8F9568" w14:textId="43EC0B65" w:rsidR="00725863" w:rsidRPr="00725863" w:rsidRDefault="00725863" w:rsidP="00725863">
            <w:pPr>
              <w:rPr>
                <w:rFonts w:ascii="Arial" w:hAnsi="Arial"/>
              </w:rPr>
            </w:pPr>
            <w:r w:rsidRPr="00725863">
              <w:rPr>
                <w:rFonts w:ascii="Arial" w:hAnsi="Arial"/>
              </w:rPr>
              <w:t>ARRs – section 14.2</w:t>
            </w:r>
          </w:p>
        </w:tc>
        <w:tc>
          <w:tcPr>
            <w:tcW w:w="1791" w:type="dxa"/>
          </w:tcPr>
          <w:p w14:paraId="62637F3C" w14:textId="2D401181" w:rsidR="00725863" w:rsidRPr="00725863" w:rsidRDefault="00725863" w:rsidP="00725863">
            <w:pPr>
              <w:rPr>
                <w:rFonts w:ascii="Arial" w:hAnsi="Arial"/>
                <w:sz w:val="16"/>
                <w:szCs w:val="16"/>
              </w:rPr>
            </w:pPr>
            <w:r w:rsidRPr="00725863">
              <w:rPr>
                <w:rFonts w:ascii="Arial" w:hAnsi="Arial"/>
                <w:sz w:val="16"/>
                <w:szCs w:val="16"/>
              </w:rPr>
              <w:t>Page 46</w:t>
            </w:r>
          </w:p>
        </w:tc>
      </w:tr>
      <w:tr w:rsidR="00725863" w14:paraId="3A9FDFA1" w14:textId="77777777" w:rsidTr="00725863">
        <w:tc>
          <w:tcPr>
            <w:tcW w:w="2122" w:type="dxa"/>
          </w:tcPr>
          <w:p w14:paraId="78DA33F0" w14:textId="23FB6705" w:rsidR="00725863" w:rsidRPr="00725863" w:rsidRDefault="00725863" w:rsidP="00725863">
            <w:pPr>
              <w:rPr>
                <w:rFonts w:ascii="Arial" w:hAnsi="Arial"/>
              </w:rPr>
            </w:pPr>
            <w:r w:rsidRPr="00725863">
              <w:rPr>
                <w:rFonts w:ascii="Arial" w:hAnsi="Arial"/>
              </w:rPr>
              <w:t>Governance – risk management and accountability</w:t>
            </w:r>
          </w:p>
        </w:tc>
        <w:tc>
          <w:tcPr>
            <w:tcW w:w="3685" w:type="dxa"/>
          </w:tcPr>
          <w:p w14:paraId="66076549" w14:textId="5E8004BE" w:rsidR="00725863" w:rsidRPr="00725863" w:rsidRDefault="00725863" w:rsidP="00725863">
            <w:pPr>
              <w:rPr>
                <w:rFonts w:ascii="Arial" w:hAnsi="Arial"/>
              </w:rPr>
            </w:pPr>
            <w:r w:rsidRPr="00725863">
              <w:rPr>
                <w:rFonts w:ascii="Arial" w:hAnsi="Arial"/>
              </w:rPr>
              <w:t>Internal audit</w:t>
            </w:r>
          </w:p>
        </w:tc>
        <w:tc>
          <w:tcPr>
            <w:tcW w:w="2552" w:type="dxa"/>
          </w:tcPr>
          <w:p w14:paraId="44C59F53" w14:textId="33019854" w:rsidR="00725863" w:rsidRPr="00725863" w:rsidRDefault="00725863" w:rsidP="00725863">
            <w:pPr>
              <w:rPr>
                <w:rFonts w:ascii="Arial" w:hAnsi="Arial"/>
              </w:rPr>
            </w:pPr>
            <w:r w:rsidRPr="00725863">
              <w:rPr>
                <w:rFonts w:ascii="Arial" w:hAnsi="Arial"/>
              </w:rPr>
              <w:t>ARRs – section 14.3</w:t>
            </w:r>
          </w:p>
        </w:tc>
        <w:tc>
          <w:tcPr>
            <w:tcW w:w="1791" w:type="dxa"/>
          </w:tcPr>
          <w:p w14:paraId="6C7E0C04" w14:textId="52D3831B" w:rsidR="00725863" w:rsidRPr="00725863" w:rsidRDefault="00725863" w:rsidP="00725863">
            <w:pPr>
              <w:rPr>
                <w:rFonts w:ascii="Arial" w:hAnsi="Arial"/>
                <w:sz w:val="16"/>
                <w:szCs w:val="16"/>
              </w:rPr>
            </w:pPr>
            <w:r w:rsidRPr="00725863">
              <w:rPr>
                <w:rFonts w:ascii="Arial" w:hAnsi="Arial"/>
                <w:sz w:val="16"/>
                <w:szCs w:val="16"/>
              </w:rPr>
              <w:t>Page 46</w:t>
            </w:r>
          </w:p>
        </w:tc>
      </w:tr>
      <w:tr w:rsidR="00725863" w14:paraId="737EC878" w14:textId="77777777" w:rsidTr="00725863">
        <w:tc>
          <w:tcPr>
            <w:tcW w:w="2122" w:type="dxa"/>
          </w:tcPr>
          <w:p w14:paraId="1D39C290" w14:textId="7EABE362" w:rsidR="00725863" w:rsidRPr="00725863" w:rsidRDefault="00725863" w:rsidP="00725863">
            <w:pPr>
              <w:rPr>
                <w:rFonts w:ascii="Arial" w:hAnsi="Arial"/>
              </w:rPr>
            </w:pPr>
            <w:r w:rsidRPr="00725863">
              <w:rPr>
                <w:rFonts w:ascii="Arial" w:hAnsi="Arial"/>
              </w:rPr>
              <w:t>Governance – risk management and accountability</w:t>
            </w:r>
          </w:p>
        </w:tc>
        <w:tc>
          <w:tcPr>
            <w:tcW w:w="3685" w:type="dxa"/>
          </w:tcPr>
          <w:p w14:paraId="4BE9DAE4" w14:textId="19572750" w:rsidR="00725863" w:rsidRPr="00725863" w:rsidRDefault="00725863" w:rsidP="00725863">
            <w:pPr>
              <w:rPr>
                <w:rFonts w:ascii="Arial" w:hAnsi="Arial"/>
              </w:rPr>
            </w:pPr>
            <w:r w:rsidRPr="00725863">
              <w:rPr>
                <w:rFonts w:ascii="Arial" w:hAnsi="Arial"/>
              </w:rPr>
              <w:t>External scrutiny</w:t>
            </w:r>
          </w:p>
        </w:tc>
        <w:tc>
          <w:tcPr>
            <w:tcW w:w="2552" w:type="dxa"/>
          </w:tcPr>
          <w:p w14:paraId="657F28BB" w14:textId="59AB55E0" w:rsidR="00725863" w:rsidRPr="00725863" w:rsidRDefault="00725863" w:rsidP="00725863">
            <w:pPr>
              <w:rPr>
                <w:rFonts w:ascii="Arial" w:hAnsi="Arial"/>
              </w:rPr>
            </w:pPr>
            <w:r w:rsidRPr="00725863">
              <w:rPr>
                <w:rFonts w:ascii="Arial" w:hAnsi="Arial"/>
              </w:rPr>
              <w:t>ARRs – section 14.4</w:t>
            </w:r>
          </w:p>
        </w:tc>
        <w:tc>
          <w:tcPr>
            <w:tcW w:w="1791" w:type="dxa"/>
          </w:tcPr>
          <w:p w14:paraId="5A4A67D9" w14:textId="6EB4999D" w:rsidR="00725863" w:rsidRPr="00725863" w:rsidRDefault="00725863" w:rsidP="00725863">
            <w:pPr>
              <w:rPr>
                <w:rFonts w:ascii="Arial" w:hAnsi="Arial"/>
                <w:sz w:val="16"/>
                <w:szCs w:val="16"/>
              </w:rPr>
            </w:pPr>
            <w:r w:rsidRPr="00725863">
              <w:rPr>
                <w:rFonts w:ascii="Arial" w:hAnsi="Arial"/>
                <w:sz w:val="16"/>
                <w:szCs w:val="16"/>
              </w:rPr>
              <w:t>Page 46</w:t>
            </w:r>
          </w:p>
        </w:tc>
      </w:tr>
      <w:tr w:rsidR="00725863" w14:paraId="6A8B7FE6" w14:textId="77777777" w:rsidTr="00725863">
        <w:tc>
          <w:tcPr>
            <w:tcW w:w="2122" w:type="dxa"/>
          </w:tcPr>
          <w:p w14:paraId="24F36B25" w14:textId="233F2C20" w:rsidR="00725863" w:rsidRPr="00725863" w:rsidRDefault="00725863" w:rsidP="00725863">
            <w:pPr>
              <w:rPr>
                <w:rFonts w:ascii="Arial" w:hAnsi="Arial"/>
              </w:rPr>
            </w:pPr>
            <w:r w:rsidRPr="00725863">
              <w:rPr>
                <w:rFonts w:ascii="Arial" w:hAnsi="Arial"/>
              </w:rPr>
              <w:t>Governance – risk management and accountability</w:t>
            </w:r>
          </w:p>
        </w:tc>
        <w:tc>
          <w:tcPr>
            <w:tcW w:w="3685" w:type="dxa"/>
          </w:tcPr>
          <w:p w14:paraId="29622650" w14:textId="2B2DC74E" w:rsidR="00725863" w:rsidRPr="00725863" w:rsidRDefault="00725863" w:rsidP="00725863">
            <w:pPr>
              <w:rPr>
                <w:rFonts w:ascii="Arial" w:hAnsi="Arial"/>
              </w:rPr>
            </w:pPr>
            <w:r w:rsidRPr="00725863">
              <w:rPr>
                <w:rFonts w:ascii="Arial" w:hAnsi="Arial"/>
              </w:rPr>
              <w:t>Information systems and recordkeeping</w:t>
            </w:r>
          </w:p>
        </w:tc>
        <w:tc>
          <w:tcPr>
            <w:tcW w:w="2552" w:type="dxa"/>
          </w:tcPr>
          <w:p w14:paraId="3564838F" w14:textId="5FD38308" w:rsidR="00725863" w:rsidRPr="00725863" w:rsidRDefault="00725863" w:rsidP="00725863">
            <w:pPr>
              <w:rPr>
                <w:rFonts w:ascii="Arial" w:hAnsi="Arial"/>
              </w:rPr>
            </w:pPr>
            <w:r w:rsidRPr="00725863">
              <w:rPr>
                <w:rFonts w:ascii="Arial" w:hAnsi="Arial"/>
              </w:rPr>
              <w:t>ARRs – section 14.5</w:t>
            </w:r>
          </w:p>
        </w:tc>
        <w:tc>
          <w:tcPr>
            <w:tcW w:w="1791" w:type="dxa"/>
          </w:tcPr>
          <w:p w14:paraId="6C17DD23" w14:textId="6406E0BF" w:rsidR="00725863" w:rsidRPr="00725863" w:rsidRDefault="00725863" w:rsidP="00725863">
            <w:pPr>
              <w:rPr>
                <w:rFonts w:ascii="Arial" w:hAnsi="Arial"/>
                <w:sz w:val="16"/>
                <w:szCs w:val="16"/>
              </w:rPr>
            </w:pPr>
            <w:r w:rsidRPr="00725863">
              <w:rPr>
                <w:rFonts w:ascii="Arial" w:hAnsi="Arial"/>
                <w:sz w:val="16"/>
                <w:szCs w:val="16"/>
              </w:rPr>
              <w:t>Page 47</w:t>
            </w:r>
          </w:p>
        </w:tc>
      </w:tr>
      <w:tr w:rsidR="00725863" w14:paraId="16C657D8" w14:textId="77777777" w:rsidTr="00725863">
        <w:tc>
          <w:tcPr>
            <w:tcW w:w="2122" w:type="dxa"/>
          </w:tcPr>
          <w:p w14:paraId="7F6DAD1C" w14:textId="473AFFCD" w:rsidR="00725863" w:rsidRPr="00725863" w:rsidRDefault="00725863" w:rsidP="00725863">
            <w:pPr>
              <w:rPr>
                <w:rFonts w:ascii="Arial" w:hAnsi="Arial"/>
              </w:rPr>
            </w:pPr>
            <w:r w:rsidRPr="00725863">
              <w:rPr>
                <w:rFonts w:ascii="Arial" w:hAnsi="Arial"/>
              </w:rPr>
              <w:t>Governance – risk management and accountability</w:t>
            </w:r>
          </w:p>
        </w:tc>
        <w:tc>
          <w:tcPr>
            <w:tcW w:w="3685" w:type="dxa"/>
          </w:tcPr>
          <w:p w14:paraId="2D96FD24" w14:textId="16264DE0" w:rsidR="00725863" w:rsidRPr="00725863" w:rsidRDefault="00725863" w:rsidP="00725863">
            <w:pPr>
              <w:rPr>
                <w:rFonts w:ascii="Arial" w:hAnsi="Arial"/>
              </w:rPr>
            </w:pPr>
            <w:r w:rsidRPr="00725863">
              <w:rPr>
                <w:rFonts w:ascii="Arial" w:hAnsi="Arial"/>
              </w:rPr>
              <w:t>Information Security attestation</w:t>
            </w:r>
          </w:p>
        </w:tc>
        <w:tc>
          <w:tcPr>
            <w:tcW w:w="2552" w:type="dxa"/>
          </w:tcPr>
          <w:p w14:paraId="147A0C32" w14:textId="21676D85" w:rsidR="00725863" w:rsidRPr="00725863" w:rsidRDefault="00725863" w:rsidP="00725863">
            <w:pPr>
              <w:rPr>
                <w:rFonts w:ascii="Arial" w:hAnsi="Arial"/>
              </w:rPr>
            </w:pPr>
            <w:r w:rsidRPr="00725863">
              <w:rPr>
                <w:rFonts w:ascii="Arial" w:hAnsi="Arial"/>
              </w:rPr>
              <w:t>ARRs – section 14.6</w:t>
            </w:r>
          </w:p>
        </w:tc>
        <w:tc>
          <w:tcPr>
            <w:tcW w:w="1791" w:type="dxa"/>
          </w:tcPr>
          <w:p w14:paraId="2932A3E5" w14:textId="34BD339A" w:rsidR="00725863" w:rsidRPr="00725863" w:rsidRDefault="00725863" w:rsidP="00725863">
            <w:pPr>
              <w:rPr>
                <w:rFonts w:ascii="Arial" w:hAnsi="Arial"/>
                <w:sz w:val="16"/>
                <w:szCs w:val="16"/>
              </w:rPr>
            </w:pPr>
            <w:r w:rsidRPr="00725863">
              <w:rPr>
                <w:rFonts w:ascii="Arial" w:hAnsi="Arial"/>
                <w:sz w:val="16"/>
                <w:szCs w:val="16"/>
              </w:rPr>
              <w:t>Page 47</w:t>
            </w:r>
          </w:p>
        </w:tc>
      </w:tr>
      <w:tr w:rsidR="00725863" w14:paraId="0EC451EE" w14:textId="77777777" w:rsidTr="00725863">
        <w:tc>
          <w:tcPr>
            <w:tcW w:w="2122" w:type="dxa"/>
          </w:tcPr>
          <w:p w14:paraId="561F0B22" w14:textId="0C769A9C" w:rsidR="00725863" w:rsidRPr="00725863" w:rsidRDefault="00725863" w:rsidP="00725863">
            <w:pPr>
              <w:rPr>
                <w:rFonts w:ascii="Arial" w:hAnsi="Arial"/>
              </w:rPr>
            </w:pPr>
            <w:r w:rsidRPr="00725863">
              <w:rPr>
                <w:rFonts w:ascii="Arial" w:hAnsi="Arial"/>
              </w:rPr>
              <w:t>Governance – human resources</w:t>
            </w:r>
          </w:p>
        </w:tc>
        <w:tc>
          <w:tcPr>
            <w:tcW w:w="3685" w:type="dxa"/>
          </w:tcPr>
          <w:p w14:paraId="7FFB0604" w14:textId="4F25F576" w:rsidR="00725863" w:rsidRPr="00725863" w:rsidRDefault="00725863" w:rsidP="00725863">
            <w:pPr>
              <w:rPr>
                <w:rFonts w:ascii="Arial" w:hAnsi="Arial"/>
              </w:rPr>
            </w:pPr>
            <w:r w:rsidRPr="00725863">
              <w:rPr>
                <w:rFonts w:ascii="Arial" w:hAnsi="Arial"/>
              </w:rPr>
              <w:t>Strategic workforce planning and performance</w:t>
            </w:r>
          </w:p>
        </w:tc>
        <w:tc>
          <w:tcPr>
            <w:tcW w:w="2552" w:type="dxa"/>
          </w:tcPr>
          <w:p w14:paraId="5C22D285" w14:textId="429E2891" w:rsidR="00725863" w:rsidRPr="00725863" w:rsidRDefault="00725863" w:rsidP="00725863">
            <w:pPr>
              <w:rPr>
                <w:rFonts w:ascii="Arial" w:hAnsi="Arial"/>
              </w:rPr>
            </w:pPr>
            <w:r w:rsidRPr="00725863">
              <w:rPr>
                <w:rFonts w:ascii="Arial" w:hAnsi="Arial"/>
              </w:rPr>
              <w:t>ARRs – section 15.1</w:t>
            </w:r>
          </w:p>
        </w:tc>
        <w:tc>
          <w:tcPr>
            <w:tcW w:w="1791" w:type="dxa"/>
          </w:tcPr>
          <w:p w14:paraId="3EF316F4" w14:textId="2FE941D5" w:rsidR="00725863" w:rsidRPr="00725863" w:rsidRDefault="00725863" w:rsidP="00725863">
            <w:pPr>
              <w:rPr>
                <w:rFonts w:ascii="Arial" w:hAnsi="Arial"/>
                <w:sz w:val="16"/>
                <w:szCs w:val="16"/>
              </w:rPr>
            </w:pPr>
            <w:r w:rsidRPr="00725863">
              <w:rPr>
                <w:rFonts w:ascii="Arial" w:hAnsi="Arial"/>
                <w:sz w:val="16"/>
                <w:szCs w:val="16"/>
              </w:rPr>
              <w:t>Page 42-45</w:t>
            </w:r>
          </w:p>
        </w:tc>
      </w:tr>
      <w:tr w:rsidR="00725863" w14:paraId="07973D9A" w14:textId="77777777" w:rsidTr="00725863">
        <w:tc>
          <w:tcPr>
            <w:tcW w:w="2122" w:type="dxa"/>
          </w:tcPr>
          <w:p w14:paraId="2E734DFA" w14:textId="12EE4C7E" w:rsidR="00725863" w:rsidRPr="00725863" w:rsidRDefault="00725863" w:rsidP="00725863">
            <w:pPr>
              <w:rPr>
                <w:rFonts w:ascii="Arial" w:hAnsi="Arial"/>
              </w:rPr>
            </w:pPr>
            <w:r w:rsidRPr="00725863">
              <w:rPr>
                <w:rFonts w:ascii="Arial" w:hAnsi="Arial"/>
              </w:rPr>
              <w:t>Governance – human resources</w:t>
            </w:r>
          </w:p>
        </w:tc>
        <w:tc>
          <w:tcPr>
            <w:tcW w:w="3685" w:type="dxa"/>
          </w:tcPr>
          <w:p w14:paraId="188329BE" w14:textId="6BD13767" w:rsidR="00725863" w:rsidRPr="00725863" w:rsidRDefault="00725863" w:rsidP="00725863">
            <w:pPr>
              <w:rPr>
                <w:rFonts w:ascii="Arial" w:hAnsi="Arial"/>
              </w:rPr>
            </w:pPr>
            <w:r w:rsidRPr="00725863">
              <w:rPr>
                <w:rFonts w:ascii="Arial" w:hAnsi="Arial"/>
              </w:rPr>
              <w:t>Early retirement, redundancy and retrenchment</w:t>
            </w:r>
          </w:p>
        </w:tc>
        <w:tc>
          <w:tcPr>
            <w:tcW w:w="2552" w:type="dxa"/>
          </w:tcPr>
          <w:p w14:paraId="49DCA78A" w14:textId="77777777" w:rsidR="00725863" w:rsidRPr="00725863" w:rsidRDefault="00725863" w:rsidP="00725863">
            <w:pPr>
              <w:rPr>
                <w:rFonts w:ascii="Arial" w:hAnsi="Arial"/>
              </w:rPr>
            </w:pPr>
            <w:r w:rsidRPr="00725863">
              <w:rPr>
                <w:rFonts w:ascii="Arial" w:hAnsi="Arial"/>
              </w:rPr>
              <w:t xml:space="preserve">Directive No.04/18 Early Retirement, Redundancy and Retrenchment </w:t>
            </w:r>
          </w:p>
          <w:p w14:paraId="7AE52128" w14:textId="31143F43" w:rsidR="00725863" w:rsidRPr="00725863" w:rsidRDefault="00725863" w:rsidP="00725863">
            <w:pPr>
              <w:rPr>
                <w:rFonts w:ascii="Arial" w:hAnsi="Arial"/>
              </w:rPr>
            </w:pPr>
            <w:r w:rsidRPr="00725863">
              <w:rPr>
                <w:rFonts w:ascii="Arial" w:hAnsi="Arial"/>
              </w:rPr>
              <w:t>ARRs – section 15.2</w:t>
            </w:r>
          </w:p>
        </w:tc>
        <w:tc>
          <w:tcPr>
            <w:tcW w:w="1791" w:type="dxa"/>
          </w:tcPr>
          <w:p w14:paraId="4335F225" w14:textId="5A7580A2" w:rsidR="00725863" w:rsidRPr="00725863" w:rsidRDefault="00725863" w:rsidP="00725863">
            <w:pPr>
              <w:rPr>
                <w:rFonts w:ascii="Arial" w:hAnsi="Arial"/>
                <w:sz w:val="16"/>
                <w:szCs w:val="16"/>
              </w:rPr>
            </w:pPr>
            <w:r w:rsidRPr="00725863">
              <w:rPr>
                <w:rFonts w:ascii="Arial" w:hAnsi="Arial"/>
                <w:sz w:val="16"/>
                <w:szCs w:val="16"/>
              </w:rPr>
              <w:t>Page 45</w:t>
            </w:r>
          </w:p>
        </w:tc>
      </w:tr>
      <w:tr w:rsidR="00725863" w14:paraId="7FD39465" w14:textId="77777777" w:rsidTr="00725863">
        <w:tc>
          <w:tcPr>
            <w:tcW w:w="2122" w:type="dxa"/>
          </w:tcPr>
          <w:p w14:paraId="6F538CBD" w14:textId="7097997D" w:rsidR="00725863" w:rsidRPr="00725863" w:rsidRDefault="00725863" w:rsidP="00725863">
            <w:pPr>
              <w:rPr>
                <w:rFonts w:ascii="Arial" w:hAnsi="Arial"/>
              </w:rPr>
            </w:pPr>
            <w:r w:rsidRPr="00725863">
              <w:rPr>
                <w:rFonts w:ascii="Arial" w:hAnsi="Arial"/>
              </w:rPr>
              <w:t>Open Data</w:t>
            </w:r>
          </w:p>
        </w:tc>
        <w:tc>
          <w:tcPr>
            <w:tcW w:w="3685" w:type="dxa"/>
          </w:tcPr>
          <w:p w14:paraId="734B21D2" w14:textId="0BE89DF8" w:rsidR="00725863" w:rsidRPr="00725863" w:rsidRDefault="00725863" w:rsidP="00725863">
            <w:pPr>
              <w:rPr>
                <w:rFonts w:ascii="Arial" w:hAnsi="Arial"/>
              </w:rPr>
            </w:pPr>
            <w:r w:rsidRPr="00725863">
              <w:rPr>
                <w:rFonts w:ascii="Arial" w:hAnsi="Arial"/>
              </w:rPr>
              <w:t>Statement advising publication of information</w:t>
            </w:r>
          </w:p>
        </w:tc>
        <w:tc>
          <w:tcPr>
            <w:tcW w:w="2552" w:type="dxa"/>
          </w:tcPr>
          <w:p w14:paraId="245D7C89" w14:textId="75D40D60" w:rsidR="00725863" w:rsidRPr="00725863" w:rsidRDefault="00725863" w:rsidP="00725863">
            <w:pPr>
              <w:rPr>
                <w:rFonts w:ascii="Arial" w:hAnsi="Arial"/>
              </w:rPr>
            </w:pPr>
            <w:r w:rsidRPr="00725863">
              <w:rPr>
                <w:rFonts w:ascii="Arial" w:hAnsi="Arial"/>
              </w:rPr>
              <w:t>ARRs – section 16</w:t>
            </w:r>
          </w:p>
        </w:tc>
        <w:tc>
          <w:tcPr>
            <w:tcW w:w="1791" w:type="dxa"/>
          </w:tcPr>
          <w:p w14:paraId="317F685D" w14:textId="24E0EC17" w:rsidR="00725863" w:rsidRPr="00725863" w:rsidRDefault="00725863" w:rsidP="00725863">
            <w:pPr>
              <w:rPr>
                <w:rFonts w:ascii="Arial" w:hAnsi="Arial"/>
                <w:sz w:val="16"/>
                <w:szCs w:val="16"/>
              </w:rPr>
            </w:pPr>
            <w:r w:rsidRPr="00725863">
              <w:rPr>
                <w:rFonts w:ascii="Arial" w:hAnsi="Arial"/>
                <w:sz w:val="16"/>
                <w:szCs w:val="16"/>
              </w:rPr>
              <w:t>Page 47</w:t>
            </w:r>
          </w:p>
        </w:tc>
      </w:tr>
      <w:tr w:rsidR="00725863" w14:paraId="2F7C4578" w14:textId="77777777" w:rsidTr="00725863">
        <w:tc>
          <w:tcPr>
            <w:tcW w:w="2122" w:type="dxa"/>
          </w:tcPr>
          <w:p w14:paraId="320E44B3" w14:textId="3B795B04" w:rsidR="00725863" w:rsidRPr="00725863" w:rsidRDefault="00725863" w:rsidP="00725863">
            <w:pPr>
              <w:rPr>
                <w:rFonts w:ascii="Arial" w:hAnsi="Arial"/>
              </w:rPr>
            </w:pPr>
            <w:r w:rsidRPr="00725863">
              <w:rPr>
                <w:rFonts w:ascii="Arial" w:hAnsi="Arial"/>
              </w:rPr>
              <w:t>Open Data</w:t>
            </w:r>
          </w:p>
        </w:tc>
        <w:tc>
          <w:tcPr>
            <w:tcW w:w="3685" w:type="dxa"/>
          </w:tcPr>
          <w:p w14:paraId="686E5CF8" w14:textId="051C7E10" w:rsidR="00725863" w:rsidRPr="00725863" w:rsidRDefault="00725863" w:rsidP="00725863">
            <w:pPr>
              <w:rPr>
                <w:rFonts w:ascii="Arial" w:hAnsi="Arial"/>
              </w:rPr>
            </w:pPr>
            <w:r w:rsidRPr="00725863">
              <w:rPr>
                <w:rFonts w:ascii="Arial" w:hAnsi="Arial"/>
              </w:rPr>
              <w:t xml:space="preserve">Consultancies </w:t>
            </w:r>
          </w:p>
        </w:tc>
        <w:tc>
          <w:tcPr>
            <w:tcW w:w="2552" w:type="dxa"/>
          </w:tcPr>
          <w:p w14:paraId="6CF17D0B" w14:textId="011131B4" w:rsidR="00725863" w:rsidRPr="00725863" w:rsidRDefault="00725863" w:rsidP="00725863">
            <w:pPr>
              <w:rPr>
                <w:rFonts w:ascii="Arial" w:hAnsi="Arial"/>
              </w:rPr>
            </w:pPr>
            <w:r w:rsidRPr="00725863">
              <w:rPr>
                <w:rFonts w:ascii="Arial" w:hAnsi="Arial"/>
              </w:rPr>
              <w:t>ARRs – section 33.1</w:t>
            </w:r>
          </w:p>
        </w:tc>
        <w:tc>
          <w:tcPr>
            <w:tcW w:w="1791" w:type="dxa"/>
          </w:tcPr>
          <w:p w14:paraId="0756FEDE" w14:textId="0BAC8A5B" w:rsidR="00725863" w:rsidRPr="00725863" w:rsidRDefault="00725863" w:rsidP="00725863">
            <w:pPr>
              <w:rPr>
                <w:rFonts w:ascii="Arial" w:hAnsi="Arial"/>
                <w:sz w:val="16"/>
                <w:szCs w:val="16"/>
              </w:rPr>
            </w:pPr>
            <w:r w:rsidRPr="00725863">
              <w:rPr>
                <w:rFonts w:ascii="Arial" w:hAnsi="Arial"/>
                <w:sz w:val="16"/>
                <w:szCs w:val="16"/>
              </w:rPr>
              <w:t>https://data.qld.gov.au</w:t>
            </w:r>
          </w:p>
        </w:tc>
      </w:tr>
      <w:tr w:rsidR="00725863" w14:paraId="402FF0E5" w14:textId="77777777" w:rsidTr="00725863">
        <w:tc>
          <w:tcPr>
            <w:tcW w:w="2122" w:type="dxa"/>
          </w:tcPr>
          <w:p w14:paraId="21E69577" w14:textId="39A58F08" w:rsidR="00725863" w:rsidRPr="00725863" w:rsidRDefault="00725863" w:rsidP="00725863">
            <w:pPr>
              <w:rPr>
                <w:rFonts w:ascii="Arial" w:hAnsi="Arial"/>
              </w:rPr>
            </w:pPr>
            <w:r w:rsidRPr="00725863">
              <w:rPr>
                <w:rFonts w:ascii="Arial" w:hAnsi="Arial"/>
              </w:rPr>
              <w:t>Open Data</w:t>
            </w:r>
          </w:p>
        </w:tc>
        <w:tc>
          <w:tcPr>
            <w:tcW w:w="3685" w:type="dxa"/>
          </w:tcPr>
          <w:p w14:paraId="2600A882" w14:textId="311CCD15" w:rsidR="00725863" w:rsidRPr="00725863" w:rsidRDefault="00725863" w:rsidP="00725863">
            <w:pPr>
              <w:rPr>
                <w:rFonts w:ascii="Arial" w:hAnsi="Arial"/>
              </w:rPr>
            </w:pPr>
            <w:r w:rsidRPr="00725863">
              <w:rPr>
                <w:rFonts w:ascii="Arial" w:hAnsi="Arial"/>
              </w:rPr>
              <w:t>Overseas travel</w:t>
            </w:r>
          </w:p>
        </w:tc>
        <w:tc>
          <w:tcPr>
            <w:tcW w:w="2552" w:type="dxa"/>
          </w:tcPr>
          <w:p w14:paraId="024D5880" w14:textId="75446EDE" w:rsidR="00725863" w:rsidRPr="00725863" w:rsidRDefault="00725863" w:rsidP="00725863">
            <w:pPr>
              <w:rPr>
                <w:rFonts w:ascii="Arial" w:hAnsi="Arial"/>
              </w:rPr>
            </w:pPr>
            <w:r w:rsidRPr="00725863">
              <w:rPr>
                <w:rFonts w:ascii="Arial" w:hAnsi="Arial"/>
              </w:rPr>
              <w:t>ARRs – section 33.2</w:t>
            </w:r>
          </w:p>
        </w:tc>
        <w:tc>
          <w:tcPr>
            <w:tcW w:w="1791" w:type="dxa"/>
          </w:tcPr>
          <w:p w14:paraId="6C48CEBC" w14:textId="5D5E2DA0" w:rsidR="00725863" w:rsidRPr="00725863" w:rsidRDefault="00725863" w:rsidP="00725863">
            <w:pPr>
              <w:rPr>
                <w:rFonts w:ascii="Arial" w:hAnsi="Arial"/>
                <w:sz w:val="16"/>
                <w:szCs w:val="16"/>
              </w:rPr>
            </w:pPr>
            <w:r w:rsidRPr="00725863">
              <w:rPr>
                <w:rFonts w:ascii="Arial" w:hAnsi="Arial"/>
                <w:sz w:val="16"/>
                <w:szCs w:val="16"/>
              </w:rPr>
              <w:t>https://data.qld.gov.au</w:t>
            </w:r>
          </w:p>
        </w:tc>
      </w:tr>
      <w:tr w:rsidR="00725863" w14:paraId="678B532F" w14:textId="77777777" w:rsidTr="00725863">
        <w:tc>
          <w:tcPr>
            <w:tcW w:w="2122" w:type="dxa"/>
          </w:tcPr>
          <w:p w14:paraId="4247F824" w14:textId="1F6CF2EF" w:rsidR="00725863" w:rsidRPr="00725863" w:rsidRDefault="00725863" w:rsidP="00725863">
            <w:pPr>
              <w:rPr>
                <w:rFonts w:ascii="Arial" w:hAnsi="Arial"/>
              </w:rPr>
            </w:pPr>
            <w:r w:rsidRPr="00725863">
              <w:rPr>
                <w:rFonts w:ascii="Arial" w:hAnsi="Arial"/>
              </w:rPr>
              <w:t>Open Data</w:t>
            </w:r>
          </w:p>
        </w:tc>
        <w:tc>
          <w:tcPr>
            <w:tcW w:w="3685" w:type="dxa"/>
          </w:tcPr>
          <w:p w14:paraId="5E0761A1" w14:textId="38F46AFB" w:rsidR="00725863" w:rsidRPr="00725863" w:rsidRDefault="00725863" w:rsidP="00725863">
            <w:pPr>
              <w:rPr>
                <w:rFonts w:ascii="Arial" w:hAnsi="Arial"/>
              </w:rPr>
            </w:pPr>
            <w:r w:rsidRPr="00725863">
              <w:rPr>
                <w:rFonts w:ascii="Arial" w:hAnsi="Arial"/>
              </w:rPr>
              <w:t>Queensland Language Services Policy</w:t>
            </w:r>
          </w:p>
        </w:tc>
        <w:tc>
          <w:tcPr>
            <w:tcW w:w="2552" w:type="dxa"/>
          </w:tcPr>
          <w:p w14:paraId="5C39548C" w14:textId="010935CF" w:rsidR="00725863" w:rsidRPr="00725863" w:rsidRDefault="00725863" w:rsidP="00725863">
            <w:pPr>
              <w:rPr>
                <w:rFonts w:ascii="Arial" w:hAnsi="Arial"/>
              </w:rPr>
            </w:pPr>
            <w:r w:rsidRPr="00725863">
              <w:rPr>
                <w:rFonts w:ascii="Arial" w:hAnsi="Arial"/>
              </w:rPr>
              <w:t>ARRs – section 33.3</w:t>
            </w:r>
          </w:p>
        </w:tc>
        <w:tc>
          <w:tcPr>
            <w:tcW w:w="1791" w:type="dxa"/>
          </w:tcPr>
          <w:p w14:paraId="1E6D70C1" w14:textId="59620224" w:rsidR="00725863" w:rsidRPr="00725863" w:rsidRDefault="00725863" w:rsidP="00725863">
            <w:pPr>
              <w:rPr>
                <w:rFonts w:ascii="Arial" w:hAnsi="Arial"/>
                <w:sz w:val="16"/>
                <w:szCs w:val="16"/>
              </w:rPr>
            </w:pPr>
            <w:r w:rsidRPr="00725863">
              <w:rPr>
                <w:rFonts w:ascii="Arial" w:hAnsi="Arial"/>
                <w:sz w:val="16"/>
                <w:szCs w:val="16"/>
              </w:rPr>
              <w:t>https://data.qld.gov.au</w:t>
            </w:r>
          </w:p>
        </w:tc>
      </w:tr>
      <w:tr w:rsidR="00725863" w14:paraId="5E352C0E" w14:textId="77777777" w:rsidTr="00725863">
        <w:tc>
          <w:tcPr>
            <w:tcW w:w="2122" w:type="dxa"/>
          </w:tcPr>
          <w:p w14:paraId="1092EE04" w14:textId="02023FF2" w:rsidR="00725863" w:rsidRPr="00725863" w:rsidRDefault="00725863" w:rsidP="00725863">
            <w:pPr>
              <w:rPr>
                <w:rFonts w:ascii="Arial" w:hAnsi="Arial"/>
              </w:rPr>
            </w:pPr>
            <w:r w:rsidRPr="00725863">
              <w:rPr>
                <w:rFonts w:ascii="Arial" w:hAnsi="Arial"/>
              </w:rPr>
              <w:t>Financial statements</w:t>
            </w:r>
          </w:p>
        </w:tc>
        <w:tc>
          <w:tcPr>
            <w:tcW w:w="3685" w:type="dxa"/>
          </w:tcPr>
          <w:p w14:paraId="6FC1CF70" w14:textId="3B1C700F" w:rsidR="00725863" w:rsidRPr="00725863" w:rsidRDefault="00725863" w:rsidP="00725863">
            <w:pPr>
              <w:rPr>
                <w:rFonts w:ascii="Arial" w:hAnsi="Arial"/>
              </w:rPr>
            </w:pPr>
            <w:r w:rsidRPr="00725863">
              <w:rPr>
                <w:rFonts w:ascii="Arial" w:hAnsi="Arial"/>
              </w:rPr>
              <w:t>Certification of financial statements</w:t>
            </w:r>
          </w:p>
        </w:tc>
        <w:tc>
          <w:tcPr>
            <w:tcW w:w="2552" w:type="dxa"/>
          </w:tcPr>
          <w:p w14:paraId="4D03D487" w14:textId="77777777" w:rsidR="00725863" w:rsidRPr="00725863" w:rsidRDefault="00725863" w:rsidP="00725863">
            <w:pPr>
              <w:rPr>
                <w:rFonts w:ascii="Arial" w:hAnsi="Arial"/>
              </w:rPr>
            </w:pPr>
            <w:r w:rsidRPr="00725863">
              <w:rPr>
                <w:rFonts w:ascii="Arial" w:hAnsi="Arial"/>
              </w:rPr>
              <w:t>FAA – section 62</w:t>
            </w:r>
          </w:p>
          <w:p w14:paraId="26FD1A28" w14:textId="77777777" w:rsidR="00725863" w:rsidRPr="00725863" w:rsidRDefault="00725863" w:rsidP="00725863">
            <w:pPr>
              <w:rPr>
                <w:rFonts w:ascii="Arial" w:hAnsi="Arial"/>
              </w:rPr>
            </w:pPr>
            <w:r w:rsidRPr="00725863">
              <w:rPr>
                <w:rFonts w:ascii="Arial" w:hAnsi="Arial"/>
              </w:rPr>
              <w:t>FPMS – sections 38, 39 and 46</w:t>
            </w:r>
          </w:p>
          <w:p w14:paraId="79400088" w14:textId="56E14593" w:rsidR="00725863" w:rsidRPr="00725863" w:rsidRDefault="00725863" w:rsidP="00725863">
            <w:pPr>
              <w:rPr>
                <w:rFonts w:ascii="Arial" w:hAnsi="Arial"/>
              </w:rPr>
            </w:pPr>
            <w:r w:rsidRPr="00725863">
              <w:rPr>
                <w:rFonts w:ascii="Arial" w:hAnsi="Arial"/>
              </w:rPr>
              <w:t>ARRs – section 17.1</w:t>
            </w:r>
          </w:p>
        </w:tc>
        <w:tc>
          <w:tcPr>
            <w:tcW w:w="1791" w:type="dxa"/>
          </w:tcPr>
          <w:p w14:paraId="2761638F" w14:textId="1B36F877" w:rsidR="00725863" w:rsidRPr="00725863" w:rsidRDefault="00725863" w:rsidP="00725863">
            <w:pPr>
              <w:rPr>
                <w:rFonts w:ascii="Arial" w:hAnsi="Arial"/>
                <w:sz w:val="16"/>
                <w:szCs w:val="16"/>
              </w:rPr>
            </w:pPr>
            <w:r w:rsidRPr="00725863">
              <w:rPr>
                <w:rFonts w:ascii="Arial" w:hAnsi="Arial"/>
                <w:sz w:val="16"/>
                <w:szCs w:val="16"/>
              </w:rPr>
              <w:t>Section 8 – Page 74</w:t>
            </w:r>
          </w:p>
        </w:tc>
      </w:tr>
      <w:tr w:rsidR="00725863" w14:paraId="7934A87E" w14:textId="77777777" w:rsidTr="00725863">
        <w:tc>
          <w:tcPr>
            <w:tcW w:w="2122" w:type="dxa"/>
          </w:tcPr>
          <w:p w14:paraId="72321766" w14:textId="258EDFA9" w:rsidR="00725863" w:rsidRPr="00725863" w:rsidRDefault="00725863" w:rsidP="00725863">
            <w:pPr>
              <w:rPr>
                <w:rFonts w:ascii="Arial" w:hAnsi="Arial"/>
              </w:rPr>
            </w:pPr>
            <w:r w:rsidRPr="00725863">
              <w:rPr>
                <w:rFonts w:ascii="Arial" w:hAnsi="Arial"/>
              </w:rPr>
              <w:t>Financial statements</w:t>
            </w:r>
          </w:p>
        </w:tc>
        <w:tc>
          <w:tcPr>
            <w:tcW w:w="3685" w:type="dxa"/>
          </w:tcPr>
          <w:p w14:paraId="06B8A35D" w14:textId="1A243BBE" w:rsidR="00725863" w:rsidRPr="00725863" w:rsidRDefault="00725863" w:rsidP="00725863">
            <w:pPr>
              <w:rPr>
                <w:rFonts w:ascii="Arial" w:hAnsi="Arial"/>
              </w:rPr>
            </w:pPr>
            <w:r w:rsidRPr="00725863">
              <w:rPr>
                <w:rFonts w:ascii="Arial" w:hAnsi="Arial"/>
              </w:rPr>
              <w:t>Independent Auditor’s Report</w:t>
            </w:r>
          </w:p>
        </w:tc>
        <w:tc>
          <w:tcPr>
            <w:tcW w:w="2552" w:type="dxa"/>
          </w:tcPr>
          <w:p w14:paraId="7B149A39" w14:textId="77777777" w:rsidR="00725863" w:rsidRPr="00725863" w:rsidRDefault="00725863" w:rsidP="00725863">
            <w:pPr>
              <w:rPr>
                <w:rFonts w:ascii="Arial" w:hAnsi="Arial"/>
              </w:rPr>
            </w:pPr>
            <w:r w:rsidRPr="00725863">
              <w:rPr>
                <w:rFonts w:ascii="Arial" w:hAnsi="Arial"/>
              </w:rPr>
              <w:t>FAA – section 62</w:t>
            </w:r>
          </w:p>
          <w:p w14:paraId="606D715E" w14:textId="77777777" w:rsidR="00725863" w:rsidRPr="00725863" w:rsidRDefault="00725863" w:rsidP="00725863">
            <w:pPr>
              <w:rPr>
                <w:rFonts w:ascii="Arial" w:hAnsi="Arial"/>
              </w:rPr>
            </w:pPr>
            <w:r w:rsidRPr="00725863">
              <w:rPr>
                <w:rFonts w:ascii="Arial" w:hAnsi="Arial"/>
              </w:rPr>
              <w:t>FPMS – section 46</w:t>
            </w:r>
          </w:p>
          <w:p w14:paraId="745FCB46" w14:textId="61A31C4E" w:rsidR="00725863" w:rsidRPr="00725863" w:rsidRDefault="00725863" w:rsidP="00725863">
            <w:pPr>
              <w:rPr>
                <w:rFonts w:ascii="Arial" w:hAnsi="Arial"/>
              </w:rPr>
            </w:pPr>
            <w:r w:rsidRPr="00725863">
              <w:rPr>
                <w:rFonts w:ascii="Arial" w:hAnsi="Arial"/>
              </w:rPr>
              <w:t>ARRs – section 17.2</w:t>
            </w:r>
          </w:p>
        </w:tc>
        <w:tc>
          <w:tcPr>
            <w:tcW w:w="1791" w:type="dxa"/>
          </w:tcPr>
          <w:p w14:paraId="1A0627E1" w14:textId="4981D186" w:rsidR="00725863" w:rsidRPr="00725863" w:rsidRDefault="00725863" w:rsidP="00725863">
            <w:pPr>
              <w:rPr>
                <w:rFonts w:ascii="Arial" w:hAnsi="Arial"/>
                <w:sz w:val="16"/>
                <w:szCs w:val="16"/>
              </w:rPr>
            </w:pPr>
            <w:r w:rsidRPr="00725863">
              <w:rPr>
                <w:rFonts w:ascii="Arial" w:hAnsi="Arial"/>
                <w:sz w:val="16"/>
                <w:szCs w:val="16"/>
              </w:rPr>
              <w:t>Section 8 – Page 74</w:t>
            </w:r>
          </w:p>
        </w:tc>
      </w:tr>
    </w:tbl>
    <w:p w14:paraId="6EB5F645" w14:textId="77777777" w:rsidR="00F73A76" w:rsidRPr="00444795" w:rsidRDefault="00F73A76" w:rsidP="00797BC9">
      <w:pPr>
        <w:spacing w:before="240"/>
        <w:rPr>
          <w:sz w:val="16"/>
          <w:szCs w:val="16"/>
        </w:rPr>
      </w:pPr>
      <w:r w:rsidRPr="00444795">
        <w:rPr>
          <w:sz w:val="16"/>
          <w:szCs w:val="16"/>
        </w:rPr>
        <w:t xml:space="preserve">FAA </w:t>
      </w:r>
      <w:r w:rsidRPr="00444795">
        <w:rPr>
          <w:sz w:val="16"/>
          <w:szCs w:val="16"/>
        </w:rPr>
        <w:tab/>
      </w:r>
      <w:r w:rsidRPr="00444795">
        <w:rPr>
          <w:i/>
          <w:iCs/>
          <w:sz w:val="16"/>
          <w:szCs w:val="16"/>
        </w:rPr>
        <w:t>Financial Accountability Act 2009</w:t>
      </w:r>
      <w:r w:rsidRPr="00444795">
        <w:rPr>
          <w:sz w:val="16"/>
          <w:szCs w:val="16"/>
        </w:rPr>
        <w:t xml:space="preserve"> </w:t>
      </w:r>
    </w:p>
    <w:p w14:paraId="55B5AE86" w14:textId="77777777" w:rsidR="00F73A76" w:rsidRPr="00444795" w:rsidRDefault="00F73A76" w:rsidP="00656566">
      <w:pPr>
        <w:rPr>
          <w:sz w:val="16"/>
          <w:szCs w:val="16"/>
        </w:rPr>
      </w:pPr>
      <w:r w:rsidRPr="00444795">
        <w:rPr>
          <w:sz w:val="16"/>
          <w:szCs w:val="16"/>
        </w:rPr>
        <w:t xml:space="preserve">FPMS </w:t>
      </w:r>
      <w:r w:rsidRPr="00444795">
        <w:rPr>
          <w:sz w:val="16"/>
          <w:szCs w:val="16"/>
        </w:rPr>
        <w:tab/>
      </w:r>
      <w:r w:rsidRPr="00444795">
        <w:rPr>
          <w:i/>
          <w:iCs/>
          <w:sz w:val="16"/>
          <w:szCs w:val="16"/>
        </w:rPr>
        <w:t>Financial and Performance Management Standard 2019</w:t>
      </w:r>
    </w:p>
    <w:p w14:paraId="67EEC052" w14:textId="3EF18BF0" w:rsidR="00E17A2F" w:rsidRPr="00797BC9" w:rsidRDefault="00F73A76" w:rsidP="00797BC9">
      <w:pPr>
        <w:rPr>
          <w:sz w:val="16"/>
          <w:szCs w:val="16"/>
        </w:rPr>
      </w:pPr>
      <w:r w:rsidRPr="00444795">
        <w:rPr>
          <w:sz w:val="16"/>
          <w:szCs w:val="16"/>
        </w:rPr>
        <w:lastRenderedPageBreak/>
        <w:t>ARRs</w:t>
      </w:r>
      <w:r w:rsidRPr="00444795">
        <w:rPr>
          <w:sz w:val="16"/>
          <w:szCs w:val="16"/>
        </w:rPr>
        <w:tab/>
      </w:r>
      <w:r w:rsidRPr="00444795">
        <w:rPr>
          <w:i/>
          <w:iCs/>
          <w:sz w:val="16"/>
          <w:szCs w:val="16"/>
        </w:rPr>
        <w:t>Annual report requirements for Queensland Government agencies</w:t>
      </w:r>
    </w:p>
    <w:p w14:paraId="4EE68F8E" w14:textId="77777777" w:rsidR="00E17A2F" w:rsidRDefault="00E17A2F">
      <w:pPr>
        <w:spacing w:after="0" w:line="240" w:lineRule="auto"/>
        <w:rPr>
          <w:rFonts w:eastAsia="Calibri"/>
        </w:rPr>
      </w:pPr>
      <w:r>
        <w:rPr>
          <w:rFonts w:eastAsia="Calibri"/>
        </w:rPr>
        <w:br w:type="page"/>
      </w:r>
    </w:p>
    <w:p w14:paraId="55B87F9B" w14:textId="590F7F22" w:rsidR="00C30682" w:rsidRPr="00E4449B" w:rsidRDefault="00C30682" w:rsidP="00FC712B">
      <w:pPr>
        <w:pStyle w:val="Heading1"/>
        <w:rPr>
          <w:spacing w:val="-2"/>
        </w:rPr>
      </w:pPr>
      <w:bookmarkStart w:id="34" w:name="_Toc43444839"/>
      <w:bookmarkStart w:id="35" w:name="_Toc78287417"/>
      <w:bookmarkStart w:id="36" w:name="_Toc78355824"/>
      <w:bookmarkStart w:id="37" w:name="_Toc81984393"/>
      <w:r w:rsidRPr="00E4449B">
        <w:lastRenderedPageBreak/>
        <w:t>P</w:t>
      </w:r>
      <w:r w:rsidRPr="00E4449B">
        <w:rPr>
          <w:spacing w:val="-4"/>
        </w:rPr>
        <w:t>u</w:t>
      </w:r>
      <w:r w:rsidRPr="00E4449B">
        <w:t>blic</w:t>
      </w:r>
      <w:r w:rsidRPr="00E4449B">
        <w:rPr>
          <w:spacing w:val="-25"/>
        </w:rPr>
        <w:t xml:space="preserve"> </w:t>
      </w:r>
      <w:r w:rsidRPr="00E4449B">
        <w:t>a</w:t>
      </w:r>
      <w:r w:rsidRPr="00E4449B">
        <w:rPr>
          <w:spacing w:val="-4"/>
        </w:rPr>
        <w:t>v</w:t>
      </w:r>
      <w:r w:rsidRPr="00E4449B">
        <w:t>ailabi</w:t>
      </w:r>
      <w:r w:rsidRPr="00E4449B">
        <w:rPr>
          <w:spacing w:val="-4"/>
        </w:rPr>
        <w:t>lity</w:t>
      </w:r>
      <w:r w:rsidRPr="00E4449B">
        <w:rPr>
          <w:spacing w:val="-24"/>
        </w:rPr>
        <w:t xml:space="preserve"> </w:t>
      </w:r>
      <w:r w:rsidRPr="00E4449B">
        <w:rPr>
          <w:spacing w:val="-2"/>
        </w:rPr>
        <w:t>of</w:t>
      </w:r>
      <w:r w:rsidRPr="00E4449B">
        <w:rPr>
          <w:spacing w:val="-24"/>
        </w:rPr>
        <w:t xml:space="preserve"> </w:t>
      </w:r>
      <w:r w:rsidRPr="00E4449B">
        <w:rPr>
          <w:spacing w:val="-2"/>
        </w:rPr>
        <w:t>report</w:t>
      </w:r>
      <w:bookmarkEnd w:id="34"/>
      <w:bookmarkEnd w:id="35"/>
      <w:bookmarkEnd w:id="36"/>
      <w:bookmarkEnd w:id="37"/>
    </w:p>
    <w:p w14:paraId="756F4F42" w14:textId="505FC4E2" w:rsidR="00923FA7" w:rsidRPr="002F1114" w:rsidRDefault="00923FA7" w:rsidP="002F1114">
      <w:pPr>
        <w:rPr>
          <w:rFonts w:eastAsia="Calibri"/>
        </w:rPr>
      </w:pPr>
      <w:r w:rsidRPr="002F1114">
        <w:rPr>
          <w:rFonts w:eastAsia="Calibri"/>
        </w:rPr>
        <w:t xml:space="preserve">This annual report is available at </w:t>
      </w:r>
      <w:r w:rsidR="00C1361E" w:rsidRPr="002F1114">
        <w:rPr>
          <w:rFonts w:eastAsia="Calibri"/>
        </w:rPr>
        <w:t>www.dsdsatsip.qld.gov.au</w:t>
      </w:r>
    </w:p>
    <w:p w14:paraId="4A407B4E" w14:textId="77777777" w:rsidR="00923FA7" w:rsidRPr="002F1114" w:rsidRDefault="00923FA7" w:rsidP="002F1114">
      <w:pPr>
        <w:pStyle w:val="Heading3"/>
        <w:rPr>
          <w:rFonts w:eastAsia="Calibri"/>
        </w:rPr>
      </w:pPr>
      <w:r w:rsidRPr="002F1114">
        <w:rPr>
          <w:rFonts w:eastAsia="Calibri"/>
        </w:rPr>
        <w:t>Further enquiries</w:t>
      </w:r>
    </w:p>
    <w:p w14:paraId="26C74192" w14:textId="77777777" w:rsidR="00923FA7" w:rsidRPr="002F1114" w:rsidRDefault="00923FA7" w:rsidP="002F1114">
      <w:pPr>
        <w:rPr>
          <w:rFonts w:eastAsia="Calibri"/>
        </w:rPr>
      </w:pPr>
      <w:r w:rsidRPr="002F1114">
        <w:rPr>
          <w:rFonts w:eastAsia="Calibri"/>
        </w:rPr>
        <w:t>For enquiries or further information about this report:</w:t>
      </w:r>
    </w:p>
    <w:p w14:paraId="452B3689" w14:textId="788B7FB0" w:rsidR="00923FA7" w:rsidRPr="002F1114" w:rsidRDefault="00923FA7" w:rsidP="002F1114">
      <w:pPr>
        <w:pStyle w:val="ListBullet"/>
        <w:rPr>
          <w:rFonts w:eastAsia="Calibri"/>
        </w:rPr>
      </w:pPr>
      <w:r w:rsidRPr="002F1114">
        <w:rPr>
          <w:rFonts w:eastAsia="Calibri"/>
        </w:rPr>
        <w:t xml:space="preserve">Telephone: </w:t>
      </w:r>
      <w:r w:rsidR="002F1114">
        <w:rPr>
          <w:rFonts w:eastAsia="Calibri"/>
        </w:rPr>
        <w:tab/>
      </w:r>
      <w:r w:rsidRPr="002F1114">
        <w:rPr>
          <w:rFonts w:eastAsia="Calibri"/>
        </w:rPr>
        <w:t>13 QGOV (13 74 68)</w:t>
      </w:r>
    </w:p>
    <w:p w14:paraId="25D7FDF6" w14:textId="5EC62726" w:rsidR="00923FA7" w:rsidRPr="002F1114" w:rsidRDefault="00923FA7" w:rsidP="002F1114">
      <w:pPr>
        <w:pStyle w:val="ListBullet"/>
        <w:rPr>
          <w:rFonts w:eastAsia="Calibri"/>
        </w:rPr>
      </w:pPr>
      <w:r w:rsidRPr="002F1114">
        <w:rPr>
          <w:rFonts w:eastAsia="Calibri"/>
        </w:rPr>
        <w:t>Email:</w:t>
      </w:r>
      <w:r w:rsidRPr="002F1114">
        <w:rPr>
          <w:rFonts w:eastAsia="Calibri"/>
        </w:rPr>
        <w:tab/>
      </w:r>
      <w:hyperlink r:id="rId13" w:history="1">
        <w:r w:rsidR="00AA141B" w:rsidRPr="002F1114">
          <w:rPr>
            <w:rStyle w:val="Hyperlink"/>
            <w:rFonts w:eastAsia="Calibri"/>
            <w:color w:val="auto"/>
            <w:u w:val="none"/>
          </w:rPr>
          <w:t>enquiries@dsdsatsip.qld.gov.au</w:t>
        </w:r>
      </w:hyperlink>
    </w:p>
    <w:p w14:paraId="4B7950C3" w14:textId="77777777" w:rsidR="00923FA7" w:rsidRPr="002F1114" w:rsidRDefault="00923FA7" w:rsidP="002F1114">
      <w:pPr>
        <w:pStyle w:val="Heading3"/>
        <w:rPr>
          <w:rFonts w:eastAsia="Calibri"/>
        </w:rPr>
      </w:pPr>
      <w:r w:rsidRPr="002F1114">
        <w:rPr>
          <w:rFonts w:eastAsia="Calibri"/>
        </w:rPr>
        <w:t>Other languages and formats</w:t>
      </w:r>
    </w:p>
    <w:p w14:paraId="3D313EF1" w14:textId="1940CE8F" w:rsidR="00923FA7" w:rsidRPr="00E4449B" w:rsidRDefault="00923FA7" w:rsidP="002F1114">
      <w:pPr>
        <w:rPr>
          <w:rFonts w:eastAsia="Calibri"/>
          <w:spacing w:val="-2"/>
          <w:lang w:val="en-US" w:eastAsia="en-US"/>
        </w:rPr>
      </w:pPr>
      <w:r w:rsidRPr="00E4449B">
        <w:rPr>
          <w:rFonts w:eastAsia="Calibri"/>
          <w:lang w:val="en-US" w:eastAsia="en-US"/>
        </w:rPr>
        <w:t>The</w:t>
      </w:r>
      <w:r w:rsidR="00A757AC" w:rsidRPr="00E4449B">
        <w:rPr>
          <w:rFonts w:eastAsia="Calibri"/>
          <w:lang w:val="en-US" w:eastAsia="en-US"/>
        </w:rPr>
        <w:t xml:space="preserve"> Queensland Government is committed to providing accessible services to Queenslanders from all culturally and linguistically diverse backgrounds. If you have difficulty in understanding the annual report, will arrange an interpreter to effectively communicate the report to you.</w:t>
      </w:r>
    </w:p>
    <w:p w14:paraId="2548687D" w14:textId="3DCEA140" w:rsidR="00923FA7" w:rsidRPr="00E4449B" w:rsidRDefault="00923FA7" w:rsidP="002F1114">
      <w:pPr>
        <w:rPr>
          <w:rFonts w:eastAsia="Calibri"/>
          <w:lang w:val="en-US" w:eastAsia="en-US"/>
        </w:rPr>
      </w:pPr>
      <w:r w:rsidRPr="00E4449B">
        <w:rPr>
          <w:rFonts w:eastAsia="Calibri"/>
          <w:spacing w:val="-2"/>
          <w:lang w:val="en-US" w:eastAsia="en-US"/>
        </w:rPr>
        <w:t>Alternative</w:t>
      </w:r>
      <w:r w:rsidRPr="00E4449B">
        <w:rPr>
          <w:rFonts w:eastAsia="Calibri"/>
          <w:spacing w:val="-15"/>
          <w:lang w:val="en-US" w:eastAsia="en-US"/>
        </w:rPr>
        <w:t xml:space="preserve"> </w:t>
      </w:r>
      <w:r w:rsidRPr="00E4449B">
        <w:rPr>
          <w:rFonts w:eastAsia="Calibri"/>
          <w:spacing w:val="-2"/>
          <w:lang w:val="en-US" w:eastAsia="en-US"/>
        </w:rPr>
        <w:t>form</w:t>
      </w:r>
      <w:r w:rsidRPr="00E4449B">
        <w:rPr>
          <w:rFonts w:eastAsia="Calibri"/>
          <w:spacing w:val="-1"/>
          <w:lang w:val="en-US" w:eastAsia="en-US"/>
        </w:rPr>
        <w:t>ats</w:t>
      </w:r>
      <w:r w:rsidRPr="00E4449B">
        <w:rPr>
          <w:rFonts w:eastAsia="Calibri"/>
          <w:spacing w:val="-15"/>
          <w:lang w:val="en-US" w:eastAsia="en-US"/>
        </w:rPr>
        <w:t xml:space="preserve"> </w:t>
      </w:r>
      <w:r w:rsidRPr="00E4449B">
        <w:rPr>
          <w:rFonts w:eastAsia="Calibri"/>
          <w:spacing w:val="-1"/>
          <w:lang w:val="en-US" w:eastAsia="en-US"/>
        </w:rPr>
        <w:t>(including</w:t>
      </w:r>
      <w:r w:rsidRPr="00E4449B">
        <w:rPr>
          <w:rFonts w:eastAsia="Calibri"/>
          <w:spacing w:val="-15"/>
          <w:lang w:val="en-US" w:eastAsia="en-US"/>
        </w:rPr>
        <w:t xml:space="preserve"> </w:t>
      </w:r>
      <w:r w:rsidRPr="00E4449B">
        <w:rPr>
          <w:rFonts w:eastAsia="Calibri"/>
          <w:spacing w:val="-1"/>
          <w:lang w:val="en-US" w:eastAsia="en-US"/>
        </w:rPr>
        <w:t>large</w:t>
      </w:r>
      <w:r w:rsidRPr="00E4449B">
        <w:rPr>
          <w:rFonts w:eastAsia="Calibri"/>
          <w:spacing w:val="-14"/>
          <w:lang w:val="en-US" w:eastAsia="en-US"/>
        </w:rPr>
        <w:t xml:space="preserve"> </w:t>
      </w:r>
      <w:r w:rsidRPr="00E4449B">
        <w:rPr>
          <w:rFonts w:eastAsia="Calibri"/>
          <w:lang w:val="en-US" w:eastAsia="en-US"/>
        </w:rPr>
        <w:t>print)</w:t>
      </w:r>
      <w:r w:rsidRPr="00E4449B">
        <w:rPr>
          <w:rFonts w:eastAsia="Calibri"/>
          <w:spacing w:val="-14"/>
          <w:lang w:val="en-US" w:eastAsia="en-US"/>
        </w:rPr>
        <w:t xml:space="preserve"> </w:t>
      </w:r>
      <w:r w:rsidRPr="00E4449B">
        <w:rPr>
          <w:rFonts w:eastAsia="Calibri"/>
          <w:lang w:val="en-US" w:eastAsia="en-US"/>
        </w:rPr>
        <w:t>are</w:t>
      </w:r>
      <w:r w:rsidRPr="00E4449B">
        <w:rPr>
          <w:rFonts w:eastAsia="Calibri"/>
          <w:spacing w:val="-15"/>
          <w:lang w:val="en-US" w:eastAsia="en-US"/>
        </w:rPr>
        <w:t xml:space="preserve"> </w:t>
      </w:r>
      <w:r w:rsidR="00B91766" w:rsidRPr="00E4449B">
        <w:rPr>
          <w:rFonts w:eastAsia="Calibri"/>
          <w:spacing w:val="-1"/>
          <w:lang w:val="en-US" w:eastAsia="en-US"/>
        </w:rPr>
        <w:t>a</w:t>
      </w:r>
      <w:r w:rsidR="00B91766" w:rsidRPr="00E4449B">
        <w:rPr>
          <w:rFonts w:eastAsia="Calibri"/>
          <w:spacing w:val="-2"/>
          <w:lang w:val="en-US" w:eastAsia="en-US"/>
        </w:rPr>
        <w:t>v</w:t>
      </w:r>
      <w:r w:rsidR="00B91766" w:rsidRPr="00E4449B">
        <w:rPr>
          <w:rFonts w:eastAsia="Calibri"/>
          <w:spacing w:val="-1"/>
          <w:lang w:val="en-US" w:eastAsia="en-US"/>
        </w:rPr>
        <w:t>ailabl</w:t>
      </w:r>
      <w:r w:rsidR="00C1361E" w:rsidRPr="00E4449B">
        <w:rPr>
          <w:rFonts w:eastAsia="Calibri"/>
          <w:spacing w:val="-2"/>
          <w:lang w:val="en-US" w:eastAsia="en-US"/>
        </w:rPr>
        <w:t>e on</w:t>
      </w:r>
      <w:r w:rsidRPr="00E4449B">
        <w:rPr>
          <w:rFonts w:eastAsia="Calibri"/>
          <w:spacing w:val="-12"/>
          <w:lang w:val="en-US" w:eastAsia="en-US"/>
        </w:rPr>
        <w:t xml:space="preserve"> </w:t>
      </w:r>
      <w:r w:rsidRPr="00E4449B">
        <w:rPr>
          <w:rFonts w:eastAsia="Calibri"/>
          <w:spacing w:val="-2"/>
          <w:lang w:val="en-US" w:eastAsia="en-US"/>
        </w:rPr>
        <w:t>reque</w:t>
      </w:r>
      <w:r w:rsidRPr="00E4449B">
        <w:rPr>
          <w:rFonts w:eastAsia="Calibri"/>
          <w:spacing w:val="-1"/>
          <w:lang w:val="en-US" w:eastAsia="en-US"/>
        </w:rPr>
        <w:t>s</w:t>
      </w:r>
      <w:r w:rsidRPr="00E4449B">
        <w:rPr>
          <w:rFonts w:eastAsia="Calibri"/>
          <w:spacing w:val="-2"/>
          <w:lang w:val="en-US" w:eastAsia="en-US"/>
        </w:rPr>
        <w:t>t.</w:t>
      </w:r>
      <w:r w:rsidRPr="00E4449B">
        <w:rPr>
          <w:rFonts w:eastAsia="Calibri"/>
          <w:spacing w:val="-13"/>
          <w:lang w:val="en-US" w:eastAsia="en-US"/>
        </w:rPr>
        <w:t xml:space="preserve"> </w:t>
      </w:r>
      <w:r w:rsidRPr="00E4449B">
        <w:rPr>
          <w:rFonts w:eastAsia="Calibri"/>
          <w:lang w:val="en-US" w:eastAsia="en-US"/>
        </w:rPr>
        <w:t>If</w:t>
      </w:r>
      <w:r w:rsidRPr="00E4449B">
        <w:rPr>
          <w:rFonts w:eastAsia="Calibri"/>
          <w:spacing w:val="-14"/>
          <w:lang w:val="en-US" w:eastAsia="en-US"/>
        </w:rPr>
        <w:t xml:space="preserve"> </w:t>
      </w:r>
      <w:r w:rsidRPr="00E4449B">
        <w:rPr>
          <w:rFonts w:eastAsia="Calibri"/>
          <w:spacing w:val="-2"/>
          <w:lang w:val="en-US" w:eastAsia="en-US"/>
        </w:rPr>
        <w:t>y</w:t>
      </w:r>
      <w:r w:rsidRPr="00E4449B">
        <w:rPr>
          <w:rFonts w:eastAsia="Calibri"/>
          <w:spacing w:val="-1"/>
          <w:lang w:val="en-US" w:eastAsia="en-US"/>
        </w:rPr>
        <w:t>ou</w:t>
      </w:r>
      <w:r w:rsidRPr="00E4449B">
        <w:rPr>
          <w:rFonts w:eastAsia="Calibri"/>
          <w:spacing w:val="-12"/>
          <w:lang w:val="en-US" w:eastAsia="en-US"/>
        </w:rPr>
        <w:t xml:space="preserve"> </w:t>
      </w:r>
      <w:r w:rsidRPr="00E4449B">
        <w:rPr>
          <w:rFonts w:eastAsia="Calibri"/>
          <w:spacing w:val="-2"/>
          <w:lang w:val="en-US" w:eastAsia="en-US"/>
        </w:rPr>
        <w:t>w</w:t>
      </w:r>
      <w:r w:rsidRPr="00E4449B">
        <w:rPr>
          <w:rFonts w:eastAsia="Calibri"/>
          <w:spacing w:val="-1"/>
          <w:lang w:val="en-US" w:eastAsia="en-US"/>
        </w:rPr>
        <w:t>ould</w:t>
      </w:r>
      <w:r w:rsidRPr="00E4449B">
        <w:rPr>
          <w:rFonts w:eastAsia="Calibri"/>
          <w:spacing w:val="-14"/>
          <w:lang w:val="en-US" w:eastAsia="en-US"/>
        </w:rPr>
        <w:t xml:space="preserve"> </w:t>
      </w:r>
      <w:r w:rsidRPr="00E4449B">
        <w:rPr>
          <w:rFonts w:eastAsia="Calibri"/>
          <w:spacing w:val="-1"/>
          <w:lang w:val="en-US" w:eastAsia="en-US"/>
        </w:rPr>
        <w:t>like</w:t>
      </w:r>
      <w:r w:rsidRPr="00E4449B">
        <w:rPr>
          <w:rFonts w:eastAsia="Calibri"/>
          <w:spacing w:val="-12"/>
          <w:lang w:val="en-US" w:eastAsia="en-US"/>
        </w:rPr>
        <w:t xml:space="preserve"> </w:t>
      </w:r>
      <w:r w:rsidRPr="00E4449B">
        <w:rPr>
          <w:rFonts w:eastAsia="Calibri"/>
          <w:spacing w:val="-2"/>
          <w:lang w:val="en-US" w:eastAsia="en-US"/>
        </w:rPr>
        <w:t>thi</w:t>
      </w:r>
      <w:r w:rsidRPr="00E4449B">
        <w:rPr>
          <w:rFonts w:eastAsia="Calibri"/>
          <w:spacing w:val="-1"/>
          <w:lang w:val="en-US" w:eastAsia="en-US"/>
        </w:rPr>
        <w:t>s</w:t>
      </w:r>
      <w:r w:rsidRPr="00E4449B">
        <w:rPr>
          <w:rFonts w:eastAsia="Calibri"/>
          <w:spacing w:val="-13"/>
          <w:lang w:val="en-US" w:eastAsia="en-US"/>
        </w:rPr>
        <w:t xml:space="preserve"> </w:t>
      </w:r>
      <w:r w:rsidRPr="00E4449B">
        <w:rPr>
          <w:rFonts w:eastAsia="Calibri"/>
          <w:lang w:val="en-US" w:eastAsia="en-US"/>
        </w:rPr>
        <w:t>annual</w:t>
      </w:r>
      <w:r w:rsidRPr="00E4449B">
        <w:rPr>
          <w:rFonts w:eastAsia="Calibri"/>
          <w:spacing w:val="-14"/>
          <w:lang w:val="en-US" w:eastAsia="en-US"/>
        </w:rPr>
        <w:t xml:space="preserve"> </w:t>
      </w:r>
      <w:r w:rsidRPr="00E4449B">
        <w:rPr>
          <w:rFonts w:eastAsia="Calibri"/>
          <w:lang w:val="en-US" w:eastAsia="en-US"/>
        </w:rPr>
        <w:t>report</w:t>
      </w:r>
      <w:r w:rsidRPr="00E4449B">
        <w:rPr>
          <w:rFonts w:eastAsia="Calibri"/>
          <w:spacing w:val="-13"/>
          <w:lang w:val="en-US" w:eastAsia="en-US"/>
        </w:rPr>
        <w:t xml:space="preserve"> </w:t>
      </w:r>
      <w:r w:rsidRPr="00E4449B">
        <w:rPr>
          <w:rFonts w:eastAsia="Calibri"/>
          <w:lang w:val="en-US" w:eastAsia="en-US"/>
        </w:rPr>
        <w:t>in</w:t>
      </w:r>
      <w:r w:rsidRPr="00E4449B">
        <w:rPr>
          <w:rFonts w:eastAsia="Calibri"/>
          <w:spacing w:val="-12"/>
          <w:lang w:val="en-US" w:eastAsia="en-US"/>
        </w:rPr>
        <w:t xml:space="preserve"> </w:t>
      </w:r>
      <w:r w:rsidRPr="00E4449B">
        <w:rPr>
          <w:rFonts w:eastAsia="Calibri"/>
          <w:lang w:val="en-US" w:eastAsia="en-US"/>
        </w:rPr>
        <w:t>another</w:t>
      </w:r>
      <w:r w:rsidRPr="00E4449B">
        <w:rPr>
          <w:rFonts w:eastAsia="Calibri"/>
          <w:spacing w:val="37"/>
          <w:w w:val="96"/>
          <w:lang w:val="en-US" w:eastAsia="en-US"/>
        </w:rPr>
        <w:t xml:space="preserve"> </w:t>
      </w:r>
      <w:r w:rsidRPr="00E4449B">
        <w:rPr>
          <w:rFonts w:eastAsia="Calibri"/>
          <w:spacing w:val="-2"/>
          <w:lang w:val="en-US" w:eastAsia="en-US"/>
        </w:rPr>
        <w:t>format,</w:t>
      </w:r>
      <w:r w:rsidRPr="00E4449B">
        <w:rPr>
          <w:rFonts w:eastAsia="Calibri"/>
          <w:spacing w:val="-8"/>
          <w:lang w:val="en-US" w:eastAsia="en-US"/>
        </w:rPr>
        <w:t xml:space="preserve"> </w:t>
      </w:r>
      <w:r w:rsidRPr="00E4449B">
        <w:rPr>
          <w:rFonts w:eastAsia="Calibri"/>
          <w:spacing w:val="-1"/>
          <w:lang w:val="en-US" w:eastAsia="en-US"/>
        </w:rPr>
        <w:t>pl</w:t>
      </w:r>
      <w:r w:rsidRPr="00E4449B">
        <w:rPr>
          <w:rFonts w:eastAsia="Calibri"/>
          <w:spacing w:val="-2"/>
          <w:lang w:val="en-US" w:eastAsia="en-US"/>
        </w:rPr>
        <w:t>e</w:t>
      </w:r>
      <w:r w:rsidRPr="00E4449B">
        <w:rPr>
          <w:rFonts w:eastAsia="Calibri"/>
          <w:spacing w:val="-1"/>
          <w:lang w:val="en-US" w:eastAsia="en-US"/>
        </w:rPr>
        <w:t>ase</w:t>
      </w:r>
      <w:r w:rsidRPr="00E4449B">
        <w:rPr>
          <w:rFonts w:eastAsia="Calibri"/>
          <w:spacing w:val="-7"/>
          <w:lang w:val="en-US" w:eastAsia="en-US"/>
        </w:rPr>
        <w:t xml:space="preserve"> </w:t>
      </w:r>
      <w:r w:rsidRPr="00E4449B">
        <w:rPr>
          <w:rFonts w:eastAsia="Calibri"/>
          <w:spacing w:val="-1"/>
          <w:lang w:val="en-US" w:eastAsia="en-US"/>
        </w:rPr>
        <w:t>c</w:t>
      </w:r>
      <w:r w:rsidRPr="00E4449B">
        <w:rPr>
          <w:rFonts w:eastAsia="Calibri"/>
          <w:spacing w:val="-2"/>
          <w:lang w:val="en-US" w:eastAsia="en-US"/>
        </w:rPr>
        <w:t>ont</w:t>
      </w:r>
      <w:r w:rsidRPr="00E4449B">
        <w:rPr>
          <w:rFonts w:eastAsia="Calibri"/>
          <w:spacing w:val="-1"/>
          <w:lang w:val="en-US" w:eastAsia="en-US"/>
        </w:rPr>
        <w:t>act</w:t>
      </w:r>
      <w:r w:rsidRPr="00E4449B">
        <w:rPr>
          <w:rFonts w:eastAsia="Calibri"/>
          <w:spacing w:val="-8"/>
          <w:lang w:val="en-US" w:eastAsia="en-US"/>
        </w:rPr>
        <w:t xml:space="preserve"> </w:t>
      </w:r>
      <w:r w:rsidRPr="00E4449B">
        <w:rPr>
          <w:rFonts w:eastAsia="Calibri"/>
          <w:spacing w:val="-1"/>
          <w:lang w:val="en-US" w:eastAsia="en-US"/>
        </w:rPr>
        <w:t>us</w:t>
      </w:r>
      <w:r w:rsidRPr="00E4449B">
        <w:rPr>
          <w:rFonts w:eastAsia="Calibri"/>
          <w:spacing w:val="-9"/>
          <w:lang w:val="en-US" w:eastAsia="en-US"/>
        </w:rPr>
        <w:t xml:space="preserve"> </w:t>
      </w:r>
      <w:r w:rsidRPr="00E4449B">
        <w:rPr>
          <w:rFonts w:eastAsia="Calibri"/>
          <w:spacing w:val="-1"/>
          <w:lang w:val="en-US" w:eastAsia="en-US"/>
        </w:rPr>
        <w:t>(calls</w:t>
      </w:r>
      <w:r w:rsidRPr="00E4449B">
        <w:rPr>
          <w:rFonts w:eastAsia="Calibri"/>
          <w:spacing w:val="-9"/>
          <w:lang w:val="en-US" w:eastAsia="en-US"/>
        </w:rPr>
        <w:t xml:space="preserve"> </w:t>
      </w:r>
      <w:r w:rsidRPr="00E4449B">
        <w:rPr>
          <w:rFonts w:eastAsia="Calibri"/>
          <w:spacing w:val="-2"/>
          <w:lang w:val="en-US" w:eastAsia="en-US"/>
        </w:rPr>
        <w:t>from</w:t>
      </w:r>
      <w:r w:rsidRPr="00E4449B">
        <w:rPr>
          <w:rFonts w:eastAsia="Calibri"/>
          <w:spacing w:val="-7"/>
          <w:lang w:val="en-US" w:eastAsia="en-US"/>
        </w:rPr>
        <w:t xml:space="preserve"> </w:t>
      </w:r>
      <w:r w:rsidRPr="00E4449B">
        <w:rPr>
          <w:rFonts w:eastAsia="Calibri"/>
          <w:spacing w:val="-2"/>
          <w:lang w:val="en-US" w:eastAsia="en-US"/>
        </w:rPr>
        <w:t>mo</w:t>
      </w:r>
      <w:r w:rsidRPr="00E4449B">
        <w:rPr>
          <w:rFonts w:eastAsia="Calibri"/>
          <w:spacing w:val="-1"/>
          <w:lang w:val="en-US" w:eastAsia="en-US"/>
        </w:rPr>
        <w:t>bil</w:t>
      </w:r>
      <w:r w:rsidRPr="00E4449B">
        <w:rPr>
          <w:rFonts w:eastAsia="Calibri"/>
          <w:spacing w:val="-2"/>
          <w:lang w:val="en-US" w:eastAsia="en-US"/>
        </w:rPr>
        <w:t>e</w:t>
      </w:r>
      <w:r w:rsidRPr="00E4449B">
        <w:rPr>
          <w:rFonts w:eastAsia="Calibri"/>
          <w:spacing w:val="-7"/>
          <w:lang w:val="en-US" w:eastAsia="en-US"/>
        </w:rPr>
        <w:t xml:space="preserve"> </w:t>
      </w:r>
      <w:r w:rsidRPr="00E4449B">
        <w:rPr>
          <w:rFonts w:eastAsia="Calibri"/>
          <w:spacing w:val="-1"/>
          <w:lang w:val="en-US" w:eastAsia="en-US"/>
        </w:rPr>
        <w:t>phones</w:t>
      </w:r>
      <w:r w:rsidRPr="00E4449B">
        <w:rPr>
          <w:rFonts w:eastAsia="Calibri"/>
          <w:spacing w:val="-9"/>
          <w:lang w:val="en-US" w:eastAsia="en-US"/>
        </w:rPr>
        <w:t xml:space="preserve"> </w:t>
      </w:r>
      <w:r w:rsidRPr="00E4449B">
        <w:rPr>
          <w:rFonts w:eastAsia="Calibri"/>
          <w:lang w:val="en-US" w:eastAsia="en-US"/>
        </w:rPr>
        <w:t>are</w:t>
      </w:r>
      <w:r w:rsidRPr="00E4449B">
        <w:rPr>
          <w:rFonts w:eastAsia="Calibri"/>
          <w:spacing w:val="33"/>
          <w:w w:val="96"/>
          <w:lang w:val="en-US" w:eastAsia="en-US"/>
        </w:rPr>
        <w:t xml:space="preserve"> </w:t>
      </w:r>
      <w:r w:rsidRPr="00E4449B">
        <w:rPr>
          <w:rFonts w:eastAsia="Calibri"/>
          <w:spacing w:val="-1"/>
          <w:lang w:val="en-US" w:eastAsia="en-US"/>
        </w:rPr>
        <w:t>charged</w:t>
      </w:r>
      <w:r w:rsidRPr="00E4449B">
        <w:rPr>
          <w:rFonts w:eastAsia="Calibri"/>
          <w:spacing w:val="-8"/>
          <w:lang w:val="en-US" w:eastAsia="en-US"/>
        </w:rPr>
        <w:t xml:space="preserve"> </w:t>
      </w:r>
      <w:r w:rsidRPr="00E4449B">
        <w:rPr>
          <w:rFonts w:eastAsia="Calibri"/>
          <w:lang w:val="en-US" w:eastAsia="en-US"/>
        </w:rPr>
        <w:t>at</w:t>
      </w:r>
      <w:r w:rsidRPr="00E4449B">
        <w:rPr>
          <w:rFonts w:eastAsia="Calibri"/>
          <w:spacing w:val="-8"/>
          <w:lang w:val="en-US" w:eastAsia="en-US"/>
        </w:rPr>
        <w:t xml:space="preserve"> </w:t>
      </w:r>
      <w:r w:rsidRPr="00E4449B">
        <w:rPr>
          <w:rFonts w:eastAsia="Calibri"/>
          <w:spacing w:val="-1"/>
          <w:lang w:val="en-US" w:eastAsia="en-US"/>
        </w:rPr>
        <w:t>applicabl</w:t>
      </w:r>
      <w:r w:rsidRPr="00E4449B">
        <w:rPr>
          <w:rFonts w:eastAsia="Calibri"/>
          <w:spacing w:val="-2"/>
          <w:lang w:val="en-US" w:eastAsia="en-US"/>
        </w:rPr>
        <w:t>e</w:t>
      </w:r>
      <w:r w:rsidRPr="00E4449B">
        <w:rPr>
          <w:rFonts w:eastAsia="Calibri"/>
          <w:spacing w:val="-5"/>
          <w:lang w:val="en-US" w:eastAsia="en-US"/>
        </w:rPr>
        <w:t xml:space="preserve"> </w:t>
      </w:r>
      <w:r w:rsidRPr="00E4449B">
        <w:rPr>
          <w:rFonts w:eastAsia="Calibri"/>
          <w:spacing w:val="-2"/>
          <w:lang w:val="en-US" w:eastAsia="en-US"/>
        </w:rPr>
        <w:t>rate</w:t>
      </w:r>
      <w:r w:rsidRPr="00E4449B">
        <w:rPr>
          <w:rFonts w:eastAsia="Calibri"/>
          <w:spacing w:val="-1"/>
          <w:lang w:val="en-US" w:eastAsia="en-US"/>
        </w:rPr>
        <w:t>s).</w:t>
      </w:r>
    </w:p>
    <w:p w14:paraId="65DD3B14" w14:textId="3956A8E3" w:rsidR="00923FA7" w:rsidRPr="002F1114" w:rsidRDefault="00923FA7" w:rsidP="002F1114">
      <w:pPr>
        <w:pStyle w:val="ListBullet"/>
        <w:rPr>
          <w:rFonts w:eastAsia="Calibri"/>
        </w:rPr>
      </w:pPr>
      <w:r w:rsidRPr="002F1114">
        <w:rPr>
          <w:rFonts w:eastAsia="Calibri"/>
        </w:rPr>
        <w:t>Telephone:</w:t>
      </w:r>
      <w:r w:rsidR="002F1114">
        <w:rPr>
          <w:rFonts w:eastAsia="Calibri"/>
        </w:rPr>
        <w:tab/>
      </w:r>
      <w:r w:rsidRPr="002F1114">
        <w:rPr>
          <w:rFonts w:eastAsia="Calibri"/>
        </w:rPr>
        <w:t>13 QGOV (13 74 68)</w:t>
      </w:r>
    </w:p>
    <w:p w14:paraId="73306CE4" w14:textId="77777777" w:rsidR="00923FA7" w:rsidRPr="002F1114" w:rsidRDefault="00923FA7" w:rsidP="002F1114">
      <w:pPr>
        <w:pStyle w:val="ListBullet"/>
        <w:rPr>
          <w:rFonts w:eastAsia="Calibri"/>
        </w:rPr>
      </w:pPr>
      <w:r w:rsidRPr="002F1114">
        <w:rPr>
          <w:rFonts w:eastAsia="Calibri"/>
        </w:rPr>
        <w:t>Free call:</w:t>
      </w:r>
      <w:r w:rsidRPr="002F1114">
        <w:rPr>
          <w:rFonts w:eastAsia="Calibri"/>
        </w:rPr>
        <w:tab/>
        <w:t>1800 177 120</w:t>
      </w:r>
    </w:p>
    <w:p w14:paraId="23CE65FC" w14:textId="77777777" w:rsidR="00923FA7" w:rsidRPr="002F1114" w:rsidRDefault="00923FA7" w:rsidP="002F1114">
      <w:pPr>
        <w:pStyle w:val="Heading4"/>
      </w:pPr>
      <w:r w:rsidRPr="002F1114">
        <w:t>Persons with a hearing impairment:</w:t>
      </w:r>
    </w:p>
    <w:p w14:paraId="6A519862" w14:textId="77777777" w:rsidR="00C1361E" w:rsidRPr="002F1114" w:rsidRDefault="00C1361E" w:rsidP="002F1114">
      <w:pPr>
        <w:pStyle w:val="ListBullet"/>
        <w:rPr>
          <w:rFonts w:eastAsia="Calibri"/>
        </w:rPr>
      </w:pPr>
      <w:r w:rsidRPr="002F1114">
        <w:rPr>
          <w:rFonts w:eastAsia="Calibri"/>
        </w:rPr>
        <w:t>SMS: 0423 677 767</w:t>
      </w:r>
    </w:p>
    <w:p w14:paraId="574FE21C" w14:textId="77777777" w:rsidR="00C1361E" w:rsidRPr="002F1114" w:rsidRDefault="00C1361E" w:rsidP="002F1114">
      <w:pPr>
        <w:pStyle w:val="ListBullet"/>
        <w:rPr>
          <w:rFonts w:eastAsia="Calibri"/>
        </w:rPr>
      </w:pPr>
      <w:r w:rsidRPr="002F1114">
        <w:rPr>
          <w:rFonts w:eastAsia="Calibri"/>
        </w:rPr>
        <w:t>TTY: 133 677</w:t>
      </w:r>
    </w:p>
    <w:p w14:paraId="2EA22557" w14:textId="77777777" w:rsidR="00C1361E" w:rsidRPr="002F1114" w:rsidRDefault="00C1361E" w:rsidP="002F1114">
      <w:pPr>
        <w:pStyle w:val="ListBullet"/>
        <w:rPr>
          <w:rFonts w:eastAsia="Calibri"/>
        </w:rPr>
      </w:pPr>
      <w:r w:rsidRPr="002F1114">
        <w:rPr>
          <w:rFonts w:eastAsia="Calibri"/>
        </w:rPr>
        <w:t>Speak and listen: 1300 555 727</w:t>
      </w:r>
    </w:p>
    <w:p w14:paraId="1D7F33EE" w14:textId="77777777" w:rsidR="00C1361E" w:rsidRPr="002F1114" w:rsidRDefault="00C1361E" w:rsidP="002F1114">
      <w:pPr>
        <w:pStyle w:val="ListBullet"/>
        <w:rPr>
          <w:rFonts w:eastAsia="Calibri"/>
        </w:rPr>
      </w:pPr>
      <w:r w:rsidRPr="002F1114">
        <w:rPr>
          <w:rFonts w:eastAsia="Calibri"/>
        </w:rPr>
        <w:t>Internet relay: https://internet-relay.nrscall.gov.au</w:t>
      </w:r>
    </w:p>
    <w:p w14:paraId="76282D48" w14:textId="77777777" w:rsidR="002F1114" w:rsidRPr="002F1114" w:rsidRDefault="00C1361E" w:rsidP="002F1114">
      <w:pPr>
        <w:pStyle w:val="ListBullet"/>
        <w:rPr>
          <w:rFonts w:eastAsia="Calibri"/>
        </w:rPr>
      </w:pPr>
      <w:r w:rsidRPr="002F1114">
        <w:rPr>
          <w:rFonts w:eastAsia="Calibri"/>
        </w:rPr>
        <w:t>Video relay: relayservice.gov.au</w:t>
      </w:r>
    </w:p>
    <w:p w14:paraId="54156F8E" w14:textId="6E3EB164" w:rsidR="00923FA7" w:rsidRPr="002F1114" w:rsidRDefault="00923FA7" w:rsidP="002F1114">
      <w:pPr>
        <w:pStyle w:val="Heading3"/>
        <w:rPr>
          <w:rFonts w:eastAsia="Calibri"/>
        </w:rPr>
      </w:pPr>
      <w:r w:rsidRPr="002F1114">
        <w:rPr>
          <w:rFonts w:eastAsia="Calibri"/>
        </w:rPr>
        <w:t>Copyright</w:t>
      </w:r>
    </w:p>
    <w:p w14:paraId="556585CF" w14:textId="35826306" w:rsidR="00923FA7" w:rsidRPr="00E4449B" w:rsidRDefault="00923FA7" w:rsidP="002F1114">
      <w:pPr>
        <w:rPr>
          <w:rFonts w:eastAsia="Calibri"/>
          <w:lang w:val="en-US" w:eastAsia="en-US"/>
        </w:rPr>
      </w:pPr>
      <w:r w:rsidRPr="00E4449B">
        <w:rPr>
          <w:rFonts w:eastAsia="Calibri"/>
          <w:lang w:val="en-US" w:eastAsia="en-US"/>
        </w:rPr>
        <w:t>©</w:t>
      </w:r>
      <w:r w:rsidRPr="00E4449B">
        <w:rPr>
          <w:rFonts w:eastAsia="Calibri"/>
          <w:spacing w:val="-18"/>
          <w:lang w:val="en-US" w:eastAsia="en-US"/>
        </w:rPr>
        <w:t xml:space="preserve"> </w:t>
      </w:r>
      <w:r w:rsidRPr="00E4449B">
        <w:rPr>
          <w:rFonts w:eastAsia="Calibri"/>
          <w:lang w:val="en-US" w:eastAsia="en-US"/>
        </w:rPr>
        <w:t>The</w:t>
      </w:r>
      <w:r w:rsidRPr="00E4449B">
        <w:rPr>
          <w:rFonts w:eastAsia="Calibri"/>
          <w:spacing w:val="-17"/>
          <w:lang w:val="en-US" w:eastAsia="en-US"/>
        </w:rPr>
        <w:t xml:space="preserve"> </w:t>
      </w:r>
      <w:r w:rsidRPr="00E4449B">
        <w:rPr>
          <w:rFonts w:eastAsia="Calibri"/>
          <w:spacing w:val="-1"/>
          <w:lang w:val="en-US" w:eastAsia="en-US"/>
        </w:rPr>
        <w:t>St</w:t>
      </w:r>
      <w:r w:rsidRPr="00E4449B">
        <w:rPr>
          <w:rFonts w:eastAsia="Calibri"/>
          <w:spacing w:val="-2"/>
          <w:lang w:val="en-US" w:eastAsia="en-US"/>
        </w:rPr>
        <w:t>ate</w:t>
      </w:r>
      <w:r w:rsidRPr="00E4449B">
        <w:rPr>
          <w:rFonts w:eastAsia="Calibri"/>
          <w:spacing w:val="-14"/>
          <w:lang w:val="en-US" w:eastAsia="en-US"/>
        </w:rPr>
        <w:t xml:space="preserve"> </w:t>
      </w:r>
      <w:r w:rsidRPr="00E4449B">
        <w:rPr>
          <w:rFonts w:eastAsia="Calibri"/>
          <w:lang w:val="en-US" w:eastAsia="en-US"/>
        </w:rPr>
        <w:t>of</w:t>
      </w:r>
      <w:r w:rsidRPr="00E4449B">
        <w:rPr>
          <w:rFonts w:eastAsia="Calibri"/>
          <w:spacing w:val="-16"/>
          <w:lang w:val="en-US" w:eastAsia="en-US"/>
        </w:rPr>
        <w:t xml:space="preserve"> </w:t>
      </w:r>
      <w:r w:rsidRPr="00E4449B">
        <w:rPr>
          <w:rFonts w:eastAsia="Calibri"/>
          <w:spacing w:val="-2"/>
          <w:lang w:val="en-US" w:eastAsia="en-US"/>
        </w:rPr>
        <w:t>Queen</w:t>
      </w:r>
      <w:r w:rsidRPr="00E4449B">
        <w:rPr>
          <w:rFonts w:eastAsia="Calibri"/>
          <w:spacing w:val="-1"/>
          <w:lang w:val="en-US" w:eastAsia="en-US"/>
        </w:rPr>
        <w:t>sland</w:t>
      </w:r>
      <w:r w:rsidRPr="00E4449B">
        <w:rPr>
          <w:rFonts w:eastAsia="Calibri"/>
          <w:spacing w:val="-15"/>
          <w:lang w:val="en-US" w:eastAsia="en-US"/>
        </w:rPr>
        <w:t xml:space="preserve"> </w:t>
      </w:r>
      <w:r w:rsidRPr="00E4449B">
        <w:rPr>
          <w:rFonts w:eastAsia="Calibri"/>
          <w:lang w:val="en-US" w:eastAsia="en-US"/>
        </w:rPr>
        <w:t>(Department</w:t>
      </w:r>
      <w:r w:rsidRPr="00E4449B">
        <w:rPr>
          <w:rFonts w:eastAsia="Calibri"/>
          <w:spacing w:val="-16"/>
          <w:lang w:val="en-US" w:eastAsia="en-US"/>
        </w:rPr>
        <w:t xml:space="preserve"> </w:t>
      </w:r>
      <w:r w:rsidRPr="00E4449B">
        <w:rPr>
          <w:rFonts w:eastAsia="Calibri"/>
          <w:lang w:val="en-US" w:eastAsia="en-US"/>
        </w:rPr>
        <w:t>of</w:t>
      </w:r>
      <w:r w:rsidR="00B4253E" w:rsidRPr="00E4449B">
        <w:rPr>
          <w:rFonts w:eastAsia="Calibri"/>
          <w:lang w:val="en-US" w:eastAsia="en-US"/>
        </w:rPr>
        <w:t xml:space="preserve"> Seniors, Disability Services and</w:t>
      </w:r>
      <w:r w:rsidRPr="00E4449B">
        <w:rPr>
          <w:rFonts w:eastAsia="Calibri"/>
          <w:spacing w:val="-16"/>
          <w:lang w:val="en-US" w:eastAsia="en-US"/>
        </w:rPr>
        <w:t xml:space="preserve"> </w:t>
      </w:r>
      <w:r w:rsidRPr="00E4449B">
        <w:rPr>
          <w:rFonts w:eastAsia="Calibri"/>
          <w:spacing w:val="-2"/>
          <w:lang w:val="en-US" w:eastAsia="en-US"/>
        </w:rPr>
        <w:t>A</w:t>
      </w:r>
      <w:r w:rsidRPr="00E4449B">
        <w:rPr>
          <w:rFonts w:eastAsia="Calibri"/>
          <w:spacing w:val="-1"/>
          <w:lang w:val="en-US" w:eastAsia="en-US"/>
        </w:rPr>
        <w:t>boriginal</w:t>
      </w:r>
      <w:r w:rsidRPr="00E4449B">
        <w:rPr>
          <w:rFonts w:eastAsia="Calibri"/>
          <w:spacing w:val="31"/>
          <w:w w:val="102"/>
          <w:lang w:val="en-US" w:eastAsia="en-US"/>
        </w:rPr>
        <w:t xml:space="preserve"> </w:t>
      </w:r>
      <w:r w:rsidRPr="00E4449B">
        <w:rPr>
          <w:rFonts w:eastAsia="Calibri"/>
          <w:lang w:val="en-US" w:eastAsia="en-US"/>
        </w:rPr>
        <w:t>and</w:t>
      </w:r>
      <w:r w:rsidRPr="00E4449B">
        <w:rPr>
          <w:rFonts w:eastAsia="Calibri"/>
          <w:spacing w:val="-16"/>
          <w:lang w:val="en-US" w:eastAsia="en-US"/>
        </w:rPr>
        <w:t xml:space="preserve"> </w:t>
      </w:r>
      <w:r w:rsidRPr="00E4449B">
        <w:rPr>
          <w:rFonts w:eastAsia="Calibri"/>
          <w:spacing w:val="-3"/>
          <w:lang w:val="en-US" w:eastAsia="en-US"/>
        </w:rPr>
        <w:t>Torre</w:t>
      </w:r>
      <w:r w:rsidRPr="00E4449B">
        <w:rPr>
          <w:rFonts w:eastAsia="Calibri"/>
          <w:spacing w:val="-2"/>
          <w:lang w:val="en-US" w:eastAsia="en-US"/>
        </w:rPr>
        <w:t>s</w:t>
      </w:r>
      <w:r w:rsidRPr="00E4449B">
        <w:rPr>
          <w:rFonts w:eastAsia="Calibri"/>
          <w:spacing w:val="-15"/>
          <w:lang w:val="en-US" w:eastAsia="en-US"/>
        </w:rPr>
        <w:t xml:space="preserve"> </w:t>
      </w:r>
      <w:r w:rsidRPr="00E4449B">
        <w:rPr>
          <w:rFonts w:eastAsia="Calibri"/>
          <w:spacing w:val="-1"/>
          <w:lang w:val="en-US" w:eastAsia="en-US"/>
        </w:rPr>
        <w:t>St</w:t>
      </w:r>
      <w:r w:rsidRPr="00E4449B">
        <w:rPr>
          <w:rFonts w:eastAsia="Calibri"/>
          <w:spacing w:val="-2"/>
          <w:lang w:val="en-US" w:eastAsia="en-US"/>
        </w:rPr>
        <w:t>rait</w:t>
      </w:r>
      <w:r w:rsidRPr="00E4449B">
        <w:rPr>
          <w:rFonts w:eastAsia="Calibri"/>
          <w:spacing w:val="-12"/>
          <w:lang w:val="en-US" w:eastAsia="en-US"/>
        </w:rPr>
        <w:t xml:space="preserve"> </w:t>
      </w:r>
      <w:r w:rsidRPr="00E4449B">
        <w:rPr>
          <w:rFonts w:eastAsia="Calibri"/>
          <w:spacing w:val="-1"/>
          <w:lang w:val="en-US" w:eastAsia="en-US"/>
        </w:rPr>
        <w:t>Island</w:t>
      </w:r>
      <w:r w:rsidRPr="00E4449B">
        <w:rPr>
          <w:rFonts w:eastAsia="Calibri"/>
          <w:spacing w:val="-2"/>
          <w:lang w:val="en-US" w:eastAsia="en-US"/>
        </w:rPr>
        <w:t>er</w:t>
      </w:r>
      <w:r w:rsidRPr="00E4449B">
        <w:rPr>
          <w:rFonts w:eastAsia="Calibri"/>
          <w:spacing w:val="-11"/>
          <w:lang w:val="en-US" w:eastAsia="en-US"/>
        </w:rPr>
        <w:t xml:space="preserve"> </w:t>
      </w:r>
      <w:r w:rsidRPr="00E4449B">
        <w:rPr>
          <w:rFonts w:eastAsia="Calibri"/>
          <w:spacing w:val="-1"/>
          <w:lang w:val="en-US" w:eastAsia="en-US"/>
        </w:rPr>
        <w:t>P</w:t>
      </w:r>
      <w:r w:rsidRPr="00E4449B">
        <w:rPr>
          <w:rFonts w:eastAsia="Calibri"/>
          <w:spacing w:val="-2"/>
          <w:lang w:val="en-US" w:eastAsia="en-US"/>
        </w:rPr>
        <w:t>artner</w:t>
      </w:r>
      <w:r w:rsidRPr="00E4449B">
        <w:rPr>
          <w:rFonts w:eastAsia="Calibri"/>
          <w:spacing w:val="-1"/>
          <w:lang w:val="en-US" w:eastAsia="en-US"/>
        </w:rPr>
        <w:t>ships)</w:t>
      </w:r>
      <w:r w:rsidRPr="00E4449B">
        <w:rPr>
          <w:rFonts w:eastAsia="Calibri"/>
          <w:spacing w:val="-13"/>
          <w:lang w:val="en-US" w:eastAsia="en-US"/>
        </w:rPr>
        <w:t xml:space="preserve"> </w:t>
      </w:r>
      <w:r w:rsidR="00B4253E" w:rsidRPr="00E4449B">
        <w:rPr>
          <w:rFonts w:eastAsia="Calibri"/>
          <w:spacing w:val="-1"/>
          <w:lang w:val="en-US" w:eastAsia="en-US"/>
        </w:rPr>
        <w:t>2021</w:t>
      </w:r>
      <w:r w:rsidRPr="00E4449B">
        <w:rPr>
          <w:rFonts w:eastAsia="Calibri"/>
          <w:spacing w:val="-2"/>
          <w:lang w:val="en-US" w:eastAsia="en-US"/>
        </w:rPr>
        <w:t>.</w:t>
      </w:r>
    </w:p>
    <w:p w14:paraId="32CB2D44" w14:textId="0F99B100" w:rsidR="00923FA7" w:rsidRPr="00E4449B" w:rsidRDefault="00923FA7" w:rsidP="002F1114">
      <w:pPr>
        <w:rPr>
          <w:rFonts w:eastAsia="Calibri"/>
          <w:lang w:val="en-US" w:eastAsia="en-US"/>
        </w:rPr>
      </w:pPr>
      <w:r w:rsidRPr="00E4449B">
        <w:rPr>
          <w:rFonts w:eastAsia="Calibri"/>
          <w:spacing w:val="-1"/>
          <w:lang w:val="en-US" w:eastAsia="en-US"/>
        </w:rPr>
        <w:t>Cop</w:t>
      </w:r>
      <w:r w:rsidRPr="00E4449B">
        <w:rPr>
          <w:rFonts w:eastAsia="Calibri"/>
          <w:spacing w:val="-2"/>
          <w:lang w:val="en-US" w:eastAsia="en-US"/>
        </w:rPr>
        <w:t>yright</w:t>
      </w:r>
      <w:r w:rsidRPr="00E4449B">
        <w:rPr>
          <w:rFonts w:eastAsia="Calibri"/>
          <w:spacing w:val="-11"/>
          <w:lang w:val="en-US" w:eastAsia="en-US"/>
        </w:rPr>
        <w:t xml:space="preserve"> </w:t>
      </w:r>
      <w:r w:rsidRPr="00E4449B">
        <w:rPr>
          <w:rFonts w:eastAsia="Calibri"/>
          <w:spacing w:val="-2"/>
          <w:lang w:val="en-US" w:eastAsia="en-US"/>
        </w:rPr>
        <w:t>protects</w:t>
      </w:r>
      <w:r w:rsidRPr="00E4449B">
        <w:rPr>
          <w:rFonts w:eastAsia="Calibri"/>
          <w:spacing w:val="-11"/>
          <w:lang w:val="en-US" w:eastAsia="en-US"/>
        </w:rPr>
        <w:t xml:space="preserve"> </w:t>
      </w:r>
      <w:r w:rsidRPr="00E4449B">
        <w:rPr>
          <w:rFonts w:eastAsia="Calibri"/>
          <w:spacing w:val="-2"/>
          <w:lang w:val="en-US" w:eastAsia="en-US"/>
        </w:rPr>
        <w:t>thi</w:t>
      </w:r>
      <w:r w:rsidRPr="00E4449B">
        <w:rPr>
          <w:rFonts w:eastAsia="Calibri"/>
          <w:spacing w:val="-1"/>
          <w:lang w:val="en-US" w:eastAsia="en-US"/>
        </w:rPr>
        <w:t>s</w:t>
      </w:r>
      <w:r w:rsidRPr="00E4449B">
        <w:rPr>
          <w:rFonts w:eastAsia="Calibri"/>
          <w:spacing w:val="-11"/>
          <w:lang w:val="en-US" w:eastAsia="en-US"/>
        </w:rPr>
        <w:t xml:space="preserve"> </w:t>
      </w:r>
      <w:r w:rsidRPr="00E4449B">
        <w:rPr>
          <w:rFonts w:eastAsia="Calibri"/>
          <w:spacing w:val="-1"/>
          <w:lang w:val="en-US" w:eastAsia="en-US"/>
        </w:rPr>
        <w:t>public</w:t>
      </w:r>
      <w:r w:rsidRPr="00E4449B">
        <w:rPr>
          <w:rFonts w:eastAsia="Calibri"/>
          <w:spacing w:val="-2"/>
          <w:lang w:val="en-US" w:eastAsia="en-US"/>
        </w:rPr>
        <w:t>ation.</w:t>
      </w:r>
      <w:r w:rsidRPr="00E4449B">
        <w:rPr>
          <w:rFonts w:eastAsia="Calibri"/>
          <w:spacing w:val="-9"/>
          <w:lang w:val="en-US" w:eastAsia="en-US"/>
        </w:rPr>
        <w:t xml:space="preserve"> </w:t>
      </w:r>
      <w:r w:rsidRPr="00E4449B">
        <w:rPr>
          <w:rFonts w:eastAsia="Calibri"/>
          <w:spacing w:val="-1"/>
          <w:lang w:val="en-US" w:eastAsia="en-US"/>
        </w:rPr>
        <w:t>Exc</w:t>
      </w:r>
      <w:r w:rsidRPr="00E4449B">
        <w:rPr>
          <w:rFonts w:eastAsia="Calibri"/>
          <w:spacing w:val="-2"/>
          <w:lang w:val="en-US" w:eastAsia="en-US"/>
        </w:rPr>
        <w:t>erpts</w:t>
      </w:r>
      <w:r w:rsidRPr="00E4449B">
        <w:rPr>
          <w:rFonts w:eastAsia="Calibri"/>
          <w:spacing w:val="-11"/>
          <w:lang w:val="en-US" w:eastAsia="en-US"/>
        </w:rPr>
        <w:t xml:space="preserve"> </w:t>
      </w:r>
      <w:r w:rsidRPr="00E4449B">
        <w:rPr>
          <w:rFonts w:eastAsia="Calibri"/>
          <w:spacing w:val="-2"/>
          <w:lang w:val="en-US" w:eastAsia="en-US"/>
        </w:rPr>
        <w:t>m</w:t>
      </w:r>
      <w:r w:rsidRPr="00E4449B">
        <w:rPr>
          <w:rFonts w:eastAsia="Calibri"/>
          <w:spacing w:val="-1"/>
          <w:lang w:val="en-US" w:eastAsia="en-US"/>
        </w:rPr>
        <w:t>a</w:t>
      </w:r>
      <w:r w:rsidRPr="00E4449B">
        <w:rPr>
          <w:rFonts w:eastAsia="Calibri"/>
          <w:spacing w:val="-2"/>
          <w:lang w:val="en-US" w:eastAsia="en-US"/>
        </w:rPr>
        <w:t>y</w:t>
      </w:r>
      <w:r w:rsidRPr="00E4449B">
        <w:rPr>
          <w:rFonts w:eastAsia="Calibri"/>
          <w:spacing w:val="-11"/>
          <w:lang w:val="en-US" w:eastAsia="en-US"/>
        </w:rPr>
        <w:t xml:space="preserve"> </w:t>
      </w:r>
      <w:r w:rsidRPr="00E4449B">
        <w:rPr>
          <w:rFonts w:eastAsia="Calibri"/>
          <w:lang w:val="en-US" w:eastAsia="en-US"/>
        </w:rPr>
        <w:t>be</w:t>
      </w:r>
      <w:r w:rsidRPr="00E4449B">
        <w:rPr>
          <w:rFonts w:eastAsia="Calibri"/>
          <w:spacing w:val="31"/>
          <w:w w:val="99"/>
          <w:lang w:val="en-US" w:eastAsia="en-US"/>
        </w:rPr>
        <w:t xml:space="preserve"> </w:t>
      </w:r>
      <w:r w:rsidRPr="00E4449B">
        <w:rPr>
          <w:rFonts w:eastAsia="Calibri"/>
          <w:spacing w:val="-2"/>
          <w:lang w:val="en-US" w:eastAsia="en-US"/>
        </w:rPr>
        <w:t>repr</w:t>
      </w:r>
      <w:r w:rsidRPr="00E4449B">
        <w:rPr>
          <w:rFonts w:eastAsia="Calibri"/>
          <w:spacing w:val="-1"/>
          <w:lang w:val="en-US" w:eastAsia="en-US"/>
        </w:rPr>
        <w:t>oduced</w:t>
      </w:r>
      <w:r w:rsidRPr="00E4449B">
        <w:rPr>
          <w:rFonts w:eastAsia="Calibri"/>
          <w:spacing w:val="-16"/>
          <w:lang w:val="en-US" w:eastAsia="en-US"/>
        </w:rPr>
        <w:t xml:space="preserve"> </w:t>
      </w:r>
      <w:r w:rsidRPr="00E4449B">
        <w:rPr>
          <w:rFonts w:eastAsia="Calibri"/>
          <w:spacing w:val="-2"/>
          <w:lang w:val="en-US" w:eastAsia="en-US"/>
        </w:rPr>
        <w:t>with</w:t>
      </w:r>
      <w:r w:rsidRPr="00E4449B">
        <w:rPr>
          <w:rFonts w:eastAsia="Calibri"/>
          <w:spacing w:val="-15"/>
          <w:lang w:val="en-US" w:eastAsia="en-US"/>
        </w:rPr>
        <w:t xml:space="preserve"> </w:t>
      </w:r>
      <w:r w:rsidRPr="00E4449B">
        <w:rPr>
          <w:rFonts w:eastAsia="Calibri"/>
          <w:spacing w:val="-1"/>
          <w:lang w:val="en-US" w:eastAsia="en-US"/>
        </w:rPr>
        <w:t>ackno</w:t>
      </w:r>
      <w:r w:rsidRPr="00E4449B">
        <w:rPr>
          <w:rFonts w:eastAsia="Calibri"/>
          <w:spacing w:val="-2"/>
          <w:lang w:val="en-US" w:eastAsia="en-US"/>
        </w:rPr>
        <w:t>wl</w:t>
      </w:r>
      <w:r w:rsidRPr="00E4449B">
        <w:rPr>
          <w:rFonts w:eastAsia="Calibri"/>
          <w:spacing w:val="-1"/>
          <w:lang w:val="en-US" w:eastAsia="en-US"/>
        </w:rPr>
        <w:t>ed</w:t>
      </w:r>
      <w:r w:rsidRPr="00E4449B">
        <w:rPr>
          <w:rFonts w:eastAsia="Calibri"/>
          <w:spacing w:val="-2"/>
          <w:lang w:val="en-US" w:eastAsia="en-US"/>
        </w:rPr>
        <w:t>gment</w:t>
      </w:r>
      <w:r w:rsidRPr="00E4449B">
        <w:rPr>
          <w:rFonts w:eastAsia="Calibri"/>
          <w:spacing w:val="-16"/>
          <w:lang w:val="en-US" w:eastAsia="en-US"/>
        </w:rPr>
        <w:t xml:space="preserve"> </w:t>
      </w:r>
      <w:r w:rsidRPr="00E4449B">
        <w:rPr>
          <w:rFonts w:eastAsia="Calibri"/>
          <w:lang w:val="en-US" w:eastAsia="en-US"/>
        </w:rPr>
        <w:t>of</w:t>
      </w:r>
      <w:r w:rsidRPr="00E4449B">
        <w:rPr>
          <w:rFonts w:eastAsia="Calibri"/>
          <w:spacing w:val="-16"/>
          <w:lang w:val="en-US" w:eastAsia="en-US"/>
        </w:rPr>
        <w:t xml:space="preserve"> </w:t>
      </w:r>
      <w:r w:rsidRPr="00E4449B">
        <w:rPr>
          <w:rFonts w:eastAsia="Calibri"/>
          <w:lang w:val="en-US" w:eastAsia="en-US"/>
        </w:rPr>
        <w:t>the</w:t>
      </w:r>
      <w:r w:rsidRPr="00E4449B">
        <w:rPr>
          <w:rFonts w:eastAsia="Calibri"/>
          <w:spacing w:val="-17"/>
          <w:lang w:val="en-US" w:eastAsia="en-US"/>
        </w:rPr>
        <w:t xml:space="preserve"> </w:t>
      </w:r>
      <w:r w:rsidRPr="00E4449B">
        <w:rPr>
          <w:rFonts w:eastAsia="Calibri"/>
          <w:spacing w:val="-1"/>
          <w:lang w:val="en-US" w:eastAsia="en-US"/>
        </w:rPr>
        <w:t>St</w:t>
      </w:r>
      <w:r w:rsidRPr="00E4449B">
        <w:rPr>
          <w:rFonts w:eastAsia="Calibri"/>
          <w:spacing w:val="-2"/>
          <w:lang w:val="en-US" w:eastAsia="en-US"/>
        </w:rPr>
        <w:t>ate</w:t>
      </w:r>
      <w:r w:rsidRPr="00E4449B">
        <w:rPr>
          <w:rFonts w:eastAsia="Calibri"/>
          <w:spacing w:val="-15"/>
          <w:lang w:val="en-US" w:eastAsia="en-US"/>
        </w:rPr>
        <w:t xml:space="preserve"> </w:t>
      </w:r>
      <w:r w:rsidRPr="00E4449B">
        <w:rPr>
          <w:rFonts w:eastAsia="Calibri"/>
          <w:lang w:val="en-US" w:eastAsia="en-US"/>
        </w:rPr>
        <w:t>of</w:t>
      </w:r>
      <w:r w:rsidRPr="00E4449B">
        <w:rPr>
          <w:rFonts w:eastAsia="Calibri"/>
          <w:spacing w:val="-16"/>
          <w:lang w:val="en-US" w:eastAsia="en-US"/>
        </w:rPr>
        <w:t xml:space="preserve"> </w:t>
      </w:r>
      <w:r w:rsidRPr="00E4449B">
        <w:rPr>
          <w:rFonts w:eastAsia="Calibri"/>
          <w:spacing w:val="-2"/>
          <w:lang w:val="en-US" w:eastAsia="en-US"/>
        </w:rPr>
        <w:t>Queen</w:t>
      </w:r>
      <w:r w:rsidRPr="00E4449B">
        <w:rPr>
          <w:rFonts w:eastAsia="Calibri"/>
          <w:spacing w:val="-1"/>
          <w:lang w:val="en-US" w:eastAsia="en-US"/>
        </w:rPr>
        <w:t>sland</w:t>
      </w:r>
      <w:r w:rsidRPr="00E4449B">
        <w:rPr>
          <w:rFonts w:eastAsia="Calibri"/>
          <w:spacing w:val="49"/>
          <w:lang w:val="en-US" w:eastAsia="en-US"/>
        </w:rPr>
        <w:t xml:space="preserve"> </w:t>
      </w:r>
      <w:r w:rsidRPr="00E4449B">
        <w:rPr>
          <w:rFonts w:eastAsia="Calibri"/>
          <w:lang w:val="en-US" w:eastAsia="en-US"/>
        </w:rPr>
        <w:t>(Department</w:t>
      </w:r>
      <w:r w:rsidRPr="00E4449B">
        <w:rPr>
          <w:rFonts w:eastAsia="Calibri"/>
          <w:spacing w:val="-20"/>
          <w:lang w:val="en-US" w:eastAsia="en-US"/>
        </w:rPr>
        <w:t xml:space="preserve"> </w:t>
      </w:r>
      <w:r w:rsidRPr="00E4449B">
        <w:rPr>
          <w:rFonts w:eastAsia="Calibri"/>
          <w:spacing w:val="-2"/>
          <w:lang w:val="en-US" w:eastAsia="en-US"/>
        </w:rPr>
        <w:t xml:space="preserve">of </w:t>
      </w:r>
      <w:r w:rsidR="00B4253E" w:rsidRPr="00E4449B">
        <w:rPr>
          <w:rFonts w:eastAsia="Calibri"/>
          <w:spacing w:val="-2"/>
          <w:lang w:val="en-US" w:eastAsia="en-US"/>
        </w:rPr>
        <w:t xml:space="preserve">Seniors, Disability Services and </w:t>
      </w:r>
      <w:r w:rsidRPr="00E4449B">
        <w:rPr>
          <w:rFonts w:eastAsia="Calibri"/>
          <w:spacing w:val="-2"/>
          <w:lang w:val="en-US" w:eastAsia="en-US"/>
        </w:rPr>
        <w:t>Aboriginal</w:t>
      </w:r>
      <w:r w:rsidRPr="00E4449B">
        <w:rPr>
          <w:rFonts w:eastAsia="Calibri"/>
          <w:spacing w:val="-19"/>
          <w:lang w:val="en-US" w:eastAsia="en-US"/>
        </w:rPr>
        <w:t xml:space="preserve"> </w:t>
      </w:r>
      <w:r w:rsidRPr="00E4449B">
        <w:rPr>
          <w:rFonts w:eastAsia="Calibri"/>
          <w:lang w:val="en-US" w:eastAsia="en-US"/>
        </w:rPr>
        <w:t>and</w:t>
      </w:r>
      <w:r w:rsidRPr="00E4449B">
        <w:rPr>
          <w:rFonts w:eastAsia="Calibri"/>
          <w:spacing w:val="-22"/>
          <w:lang w:val="en-US" w:eastAsia="en-US"/>
        </w:rPr>
        <w:t xml:space="preserve"> </w:t>
      </w:r>
      <w:r w:rsidRPr="00E4449B">
        <w:rPr>
          <w:rFonts w:eastAsia="Calibri"/>
          <w:spacing w:val="-3"/>
          <w:lang w:val="en-US" w:eastAsia="en-US"/>
        </w:rPr>
        <w:t>Torre</w:t>
      </w:r>
      <w:r w:rsidRPr="00E4449B">
        <w:rPr>
          <w:rFonts w:eastAsia="Calibri"/>
          <w:spacing w:val="-2"/>
          <w:lang w:val="en-US" w:eastAsia="en-US"/>
        </w:rPr>
        <w:t>s</w:t>
      </w:r>
      <w:r w:rsidRPr="00E4449B">
        <w:rPr>
          <w:rFonts w:eastAsia="Calibri"/>
          <w:spacing w:val="-22"/>
          <w:lang w:val="en-US" w:eastAsia="en-US"/>
        </w:rPr>
        <w:t xml:space="preserve"> </w:t>
      </w:r>
      <w:r w:rsidRPr="00E4449B">
        <w:rPr>
          <w:rFonts w:eastAsia="Calibri"/>
          <w:spacing w:val="-1"/>
          <w:lang w:val="en-US" w:eastAsia="en-US"/>
        </w:rPr>
        <w:t>St</w:t>
      </w:r>
      <w:r w:rsidRPr="00E4449B">
        <w:rPr>
          <w:rFonts w:eastAsia="Calibri"/>
          <w:spacing w:val="-2"/>
          <w:lang w:val="en-US" w:eastAsia="en-US"/>
        </w:rPr>
        <w:t>rait</w:t>
      </w:r>
      <w:r w:rsidRPr="00E4449B">
        <w:rPr>
          <w:rFonts w:eastAsia="Calibri"/>
          <w:spacing w:val="-20"/>
          <w:lang w:val="en-US" w:eastAsia="en-US"/>
        </w:rPr>
        <w:t xml:space="preserve"> </w:t>
      </w:r>
      <w:r w:rsidRPr="00E4449B">
        <w:rPr>
          <w:rFonts w:eastAsia="Calibri"/>
          <w:spacing w:val="-1"/>
          <w:lang w:val="en-US" w:eastAsia="en-US"/>
        </w:rPr>
        <w:t>Island</w:t>
      </w:r>
      <w:r w:rsidRPr="00E4449B">
        <w:rPr>
          <w:rFonts w:eastAsia="Calibri"/>
          <w:spacing w:val="-2"/>
          <w:lang w:val="en-US" w:eastAsia="en-US"/>
        </w:rPr>
        <w:t>er</w:t>
      </w:r>
      <w:r w:rsidRPr="00E4449B">
        <w:rPr>
          <w:rFonts w:eastAsia="Calibri"/>
          <w:spacing w:val="37"/>
          <w:w w:val="92"/>
          <w:lang w:val="en-US" w:eastAsia="en-US"/>
        </w:rPr>
        <w:t xml:space="preserve"> </w:t>
      </w:r>
      <w:r w:rsidRPr="00E4449B">
        <w:rPr>
          <w:rFonts w:eastAsia="Calibri"/>
          <w:spacing w:val="-1"/>
          <w:lang w:val="en-US" w:eastAsia="en-US"/>
        </w:rPr>
        <w:t>P</w:t>
      </w:r>
      <w:r w:rsidRPr="00E4449B">
        <w:rPr>
          <w:rFonts w:eastAsia="Calibri"/>
          <w:spacing w:val="-2"/>
          <w:lang w:val="en-US" w:eastAsia="en-US"/>
        </w:rPr>
        <w:t>artner</w:t>
      </w:r>
      <w:r w:rsidRPr="00E4449B">
        <w:rPr>
          <w:rFonts w:eastAsia="Calibri"/>
          <w:spacing w:val="-1"/>
          <w:lang w:val="en-US" w:eastAsia="en-US"/>
        </w:rPr>
        <w:t>ships).</w:t>
      </w:r>
    </w:p>
    <w:p w14:paraId="531D58C5" w14:textId="77777777" w:rsidR="00923FA7" w:rsidRPr="002F1114" w:rsidRDefault="00923FA7" w:rsidP="002F1114">
      <w:pPr>
        <w:pStyle w:val="Heading3"/>
        <w:rPr>
          <w:rFonts w:eastAsia="Calibri"/>
        </w:rPr>
      </w:pPr>
      <w:r w:rsidRPr="002F1114">
        <w:rPr>
          <w:rFonts w:eastAsia="Calibri"/>
        </w:rPr>
        <w:t>Licence</w:t>
      </w:r>
    </w:p>
    <w:p w14:paraId="27E3644B" w14:textId="6640FB05" w:rsidR="00923FA7" w:rsidRPr="002F1114" w:rsidRDefault="00923FA7" w:rsidP="002F1114">
      <w:pPr>
        <w:rPr>
          <w:rFonts w:eastAsia="Calibri"/>
        </w:rPr>
      </w:pPr>
      <w:r w:rsidRPr="002F1114">
        <w:rPr>
          <w:rFonts w:eastAsia="Calibri"/>
        </w:rPr>
        <w:t xml:space="preserve">This </w:t>
      </w:r>
      <w:r w:rsidR="00B4253E" w:rsidRPr="002F1114">
        <w:rPr>
          <w:rFonts w:eastAsia="Calibri"/>
        </w:rPr>
        <w:t>annual</w:t>
      </w:r>
      <w:r w:rsidR="00D02915" w:rsidRPr="002F1114">
        <w:rPr>
          <w:rFonts w:eastAsia="Calibri"/>
        </w:rPr>
        <w:t xml:space="preserve"> </w:t>
      </w:r>
      <w:r w:rsidRPr="002F1114">
        <w:rPr>
          <w:rFonts w:eastAsia="Calibri"/>
        </w:rPr>
        <w:t>report is licensed by the State of Queensland (Department of</w:t>
      </w:r>
      <w:r w:rsidR="00B4253E" w:rsidRPr="002F1114">
        <w:rPr>
          <w:rFonts w:eastAsia="Calibri"/>
        </w:rPr>
        <w:t xml:space="preserve"> Seniors, Disability Services and</w:t>
      </w:r>
      <w:r w:rsidRPr="002F1114">
        <w:rPr>
          <w:rFonts w:eastAsia="Calibri"/>
        </w:rPr>
        <w:t xml:space="preserve"> Aboriginal and Torres Strait Islander</w:t>
      </w:r>
    </w:p>
    <w:p w14:paraId="598B6C35" w14:textId="77777777" w:rsidR="00923FA7" w:rsidRPr="002F1114" w:rsidRDefault="00923FA7" w:rsidP="002F1114">
      <w:pPr>
        <w:rPr>
          <w:rFonts w:eastAsia="Calibri"/>
        </w:rPr>
      </w:pPr>
      <w:r w:rsidRPr="002F1114">
        <w:rPr>
          <w:rFonts w:eastAsia="Calibri"/>
        </w:rPr>
        <w:t>Partnerships) under a Creative Commons Attribution (CC BY) 4.0 international licence.</w:t>
      </w:r>
    </w:p>
    <w:p w14:paraId="54C31AB9" w14:textId="1763C94F" w:rsidR="00923FA7" w:rsidRPr="002F1114" w:rsidRDefault="00923FA7" w:rsidP="002F1114">
      <w:pPr>
        <w:rPr>
          <w:rFonts w:eastAsia="Calibri"/>
        </w:rPr>
      </w:pPr>
      <w:r w:rsidRPr="002F1114">
        <w:rPr>
          <w:rFonts w:eastAsia="Calibri"/>
        </w:rPr>
        <w:t xml:space="preserve">CC BY Licence Summary Statement: In essence, you </w:t>
      </w:r>
      <w:r w:rsidR="00B91766" w:rsidRPr="002F1114">
        <w:rPr>
          <w:rFonts w:eastAsia="Calibri"/>
        </w:rPr>
        <w:t>are</w:t>
      </w:r>
      <w:r w:rsidR="009443E6" w:rsidRPr="002F1114">
        <w:rPr>
          <w:rFonts w:eastAsia="Calibri"/>
        </w:rPr>
        <w:t xml:space="preserve"> </w:t>
      </w:r>
      <w:r w:rsidR="001B0E4A" w:rsidRPr="002F1114">
        <w:rPr>
          <w:rFonts w:eastAsia="Calibri"/>
        </w:rPr>
        <w:t>free to</w:t>
      </w:r>
      <w:r w:rsidRPr="002F1114">
        <w:rPr>
          <w:rFonts w:eastAsia="Calibri"/>
        </w:rPr>
        <w:t xml:space="preserve"> copy, communicate and adapt this annual report, as long as you attribute the work to the State of Queensland (Department of </w:t>
      </w:r>
      <w:r w:rsidR="00B4253E" w:rsidRPr="002F1114">
        <w:rPr>
          <w:rFonts w:eastAsia="Calibri"/>
        </w:rPr>
        <w:t xml:space="preserve">Seniors, Disability Services and </w:t>
      </w:r>
      <w:r w:rsidRPr="002F1114">
        <w:rPr>
          <w:rFonts w:eastAsia="Calibri"/>
        </w:rPr>
        <w:t>Aboriginal and Torres Strait Islander</w:t>
      </w:r>
      <w:r w:rsidR="009443E6" w:rsidRPr="002F1114">
        <w:rPr>
          <w:rFonts w:eastAsia="Calibri"/>
        </w:rPr>
        <w:t xml:space="preserve"> </w:t>
      </w:r>
      <w:r w:rsidRPr="002F1114">
        <w:rPr>
          <w:rFonts w:eastAsia="Calibri"/>
        </w:rPr>
        <w:t>Partnerships).</w:t>
      </w:r>
    </w:p>
    <w:p w14:paraId="5BE51381" w14:textId="77777777" w:rsidR="00923FA7" w:rsidRPr="002F1114" w:rsidRDefault="00923FA7" w:rsidP="002F1114">
      <w:pPr>
        <w:rPr>
          <w:rFonts w:eastAsia="Calibri"/>
        </w:rPr>
      </w:pPr>
      <w:r w:rsidRPr="002F1114">
        <w:rPr>
          <w:rFonts w:eastAsia="Calibri"/>
        </w:rPr>
        <w:t>To view a copy of this licence, visit:  https://creativecommons.org/licenses/by/4.0</w:t>
      </w:r>
    </w:p>
    <w:p w14:paraId="7E2A3611" w14:textId="361EAF93" w:rsidR="00923FA7" w:rsidRPr="002F1114" w:rsidRDefault="00923FA7" w:rsidP="002F1114">
      <w:pPr>
        <w:rPr>
          <w:rFonts w:eastAsia="Calibri"/>
        </w:rPr>
      </w:pPr>
      <w:r w:rsidRPr="002F1114">
        <w:rPr>
          <w:rFonts w:eastAsia="Calibri"/>
        </w:rPr>
        <w:t xml:space="preserve">Attribution: The State of Queensland (Department of </w:t>
      </w:r>
      <w:r w:rsidR="00B4253E" w:rsidRPr="002F1114">
        <w:rPr>
          <w:rFonts w:eastAsia="Calibri"/>
        </w:rPr>
        <w:t xml:space="preserve">Seniors, Disability Services and </w:t>
      </w:r>
      <w:r w:rsidRPr="002F1114">
        <w:rPr>
          <w:rFonts w:eastAsia="Calibri"/>
        </w:rPr>
        <w:t xml:space="preserve">Aboriginal and Torres Strait Islander Partnerships) </w:t>
      </w:r>
      <w:r w:rsidR="00B4253E" w:rsidRPr="002F1114">
        <w:rPr>
          <w:rFonts w:eastAsia="Calibri"/>
        </w:rPr>
        <w:t xml:space="preserve">Annual </w:t>
      </w:r>
      <w:r w:rsidRPr="002F1114">
        <w:rPr>
          <w:rFonts w:eastAsia="Calibri"/>
        </w:rPr>
        <w:t xml:space="preserve">Report </w:t>
      </w:r>
      <w:r w:rsidR="007745E2" w:rsidRPr="002F1114">
        <w:rPr>
          <w:rFonts w:eastAsia="Calibri"/>
        </w:rPr>
        <w:t>2020 –</w:t>
      </w:r>
      <w:r w:rsidR="00B4253E" w:rsidRPr="002F1114">
        <w:rPr>
          <w:rFonts w:eastAsia="Calibri"/>
        </w:rPr>
        <w:t>21</w:t>
      </w:r>
      <w:r w:rsidR="007745E2" w:rsidRPr="002F1114">
        <w:rPr>
          <w:rFonts w:eastAsia="Calibri"/>
        </w:rPr>
        <w:t>.</w:t>
      </w:r>
    </w:p>
    <w:p w14:paraId="49CE49E2" w14:textId="77777777" w:rsidR="00D02915" w:rsidRPr="00E4449B" w:rsidRDefault="00D02915" w:rsidP="002F1114">
      <w:pPr>
        <w:pStyle w:val="ListBullet"/>
        <w:rPr>
          <w:rFonts w:eastAsia="Calibri"/>
          <w:lang w:val="en-US" w:eastAsia="en-US"/>
        </w:rPr>
      </w:pPr>
      <w:r w:rsidRPr="00E4449B">
        <w:rPr>
          <w:rFonts w:eastAsia="Calibri"/>
          <w:lang w:val="en-US" w:eastAsia="en-US"/>
        </w:rPr>
        <w:t>ISSN 2653-0201(Online)</w:t>
      </w:r>
    </w:p>
    <w:p w14:paraId="34693432" w14:textId="09F52CD6" w:rsidR="00923FA7" w:rsidRPr="00E4449B" w:rsidRDefault="00D02915" w:rsidP="002F1114">
      <w:pPr>
        <w:pStyle w:val="ListBullet"/>
        <w:rPr>
          <w:rFonts w:eastAsia="Calibri"/>
          <w:lang w:val="en-US" w:eastAsia="en-US"/>
        </w:rPr>
      </w:pPr>
      <w:r w:rsidRPr="00E4449B">
        <w:rPr>
          <w:rFonts w:eastAsia="Calibri"/>
          <w:lang w:val="en-US" w:eastAsia="en-US"/>
        </w:rPr>
        <w:t>ISSN 2653-0198 (Print)</w:t>
      </w:r>
    </w:p>
    <w:p w14:paraId="33539399" w14:textId="77777777" w:rsidR="00923FA7" w:rsidRPr="002F1114" w:rsidRDefault="00923FA7" w:rsidP="00FC712B">
      <w:pPr>
        <w:pStyle w:val="Heading1"/>
      </w:pPr>
      <w:bookmarkStart w:id="38" w:name="_Toc78287418"/>
      <w:bookmarkStart w:id="39" w:name="_Toc78355825"/>
      <w:bookmarkStart w:id="40" w:name="_Toc81984394"/>
      <w:r w:rsidRPr="002F1114">
        <w:t>Contact details</w:t>
      </w:r>
      <w:bookmarkEnd w:id="38"/>
      <w:bookmarkEnd w:id="39"/>
      <w:bookmarkEnd w:id="40"/>
    </w:p>
    <w:p w14:paraId="3F672518" w14:textId="129FE2AB" w:rsidR="00923FA7" w:rsidRPr="002F1114" w:rsidRDefault="00923FA7" w:rsidP="002F1114">
      <w:pPr>
        <w:pStyle w:val="Heading3"/>
        <w:rPr>
          <w:rFonts w:eastAsia="Calibri"/>
        </w:rPr>
      </w:pPr>
      <w:r w:rsidRPr="002F1114">
        <w:rPr>
          <w:rFonts w:eastAsia="Calibri"/>
        </w:rPr>
        <w:t xml:space="preserve">Department of </w:t>
      </w:r>
      <w:r w:rsidR="00B4253E" w:rsidRPr="002F1114">
        <w:rPr>
          <w:rFonts w:eastAsia="Calibri"/>
        </w:rPr>
        <w:t xml:space="preserve">Seniors, Disability Services and </w:t>
      </w:r>
      <w:r w:rsidRPr="002F1114">
        <w:rPr>
          <w:rFonts w:eastAsia="Calibri"/>
        </w:rPr>
        <w:t>Aboriginal and Torres Strait Islander Partnerships</w:t>
      </w:r>
    </w:p>
    <w:p w14:paraId="46DC537B" w14:textId="77777777" w:rsidR="002F1114" w:rsidRDefault="00923FA7" w:rsidP="002F1114">
      <w:pPr>
        <w:rPr>
          <w:rFonts w:eastAsia="Calibri"/>
        </w:rPr>
      </w:pPr>
      <w:r w:rsidRPr="002F1114">
        <w:rPr>
          <w:rFonts w:eastAsia="Calibri"/>
        </w:rPr>
        <w:lastRenderedPageBreak/>
        <w:t>Level 9</w:t>
      </w:r>
      <w:r w:rsidR="002F1114">
        <w:rPr>
          <w:rFonts w:eastAsia="Calibri"/>
        </w:rPr>
        <w:br/>
      </w:r>
      <w:r w:rsidRPr="002F1114">
        <w:rPr>
          <w:rFonts w:eastAsia="Calibri"/>
        </w:rPr>
        <w:t>1 William Street</w:t>
      </w:r>
      <w:r w:rsidR="002F1114">
        <w:rPr>
          <w:rFonts w:eastAsia="Calibri"/>
        </w:rPr>
        <w:br/>
      </w:r>
      <w:r w:rsidRPr="002F1114">
        <w:rPr>
          <w:rFonts w:eastAsia="Calibri"/>
        </w:rPr>
        <w:t>BRISBANE QLD 4000</w:t>
      </w:r>
    </w:p>
    <w:p w14:paraId="6E5F32CF" w14:textId="514A522E" w:rsidR="00923FA7" w:rsidRPr="002F1114" w:rsidRDefault="00923FA7" w:rsidP="002F1114">
      <w:pPr>
        <w:rPr>
          <w:rFonts w:eastAsia="Calibri"/>
        </w:rPr>
      </w:pPr>
      <w:r w:rsidRPr="002F1114">
        <w:rPr>
          <w:rFonts w:eastAsia="Calibri"/>
        </w:rPr>
        <w:t>PO Box 15397</w:t>
      </w:r>
      <w:r w:rsidR="002F1114">
        <w:rPr>
          <w:rFonts w:eastAsia="Calibri"/>
        </w:rPr>
        <w:br/>
      </w:r>
      <w:r w:rsidRPr="002F1114">
        <w:rPr>
          <w:rFonts w:eastAsia="Calibri"/>
        </w:rPr>
        <w:t>CITY EAST QLD 4002</w:t>
      </w:r>
    </w:p>
    <w:p w14:paraId="552D1E18" w14:textId="77777777" w:rsidR="00923FA7" w:rsidRPr="002F1114" w:rsidRDefault="00923FA7" w:rsidP="002F1114">
      <w:pPr>
        <w:pStyle w:val="ListBullet"/>
        <w:rPr>
          <w:rFonts w:eastAsia="Calibri"/>
        </w:rPr>
      </w:pPr>
      <w:r w:rsidRPr="002F1114">
        <w:rPr>
          <w:rFonts w:eastAsia="Calibri"/>
        </w:rPr>
        <w:t>Phone:</w:t>
      </w:r>
      <w:r w:rsidRPr="002F1114">
        <w:rPr>
          <w:rFonts w:eastAsia="Calibri"/>
        </w:rPr>
        <w:tab/>
        <w:t>13 QGOV (13 74 68)</w:t>
      </w:r>
    </w:p>
    <w:p w14:paraId="3EE85D81" w14:textId="18307493" w:rsidR="00923FA7" w:rsidRPr="002F1114" w:rsidRDefault="00923FA7" w:rsidP="002F1114">
      <w:pPr>
        <w:pStyle w:val="ListBullet"/>
        <w:rPr>
          <w:rFonts w:eastAsia="Calibri"/>
        </w:rPr>
      </w:pPr>
      <w:r w:rsidRPr="002F1114">
        <w:rPr>
          <w:rFonts w:eastAsia="Calibri"/>
        </w:rPr>
        <w:t>Email:</w:t>
      </w:r>
      <w:r w:rsidRPr="002F1114">
        <w:rPr>
          <w:rFonts w:eastAsia="Calibri"/>
        </w:rPr>
        <w:tab/>
      </w:r>
      <w:hyperlink r:id="rId14" w:history="1">
        <w:r w:rsidR="00B4253E" w:rsidRPr="002F1114">
          <w:rPr>
            <w:rStyle w:val="Hyperlink"/>
            <w:rFonts w:eastAsia="Calibri"/>
            <w:color w:val="auto"/>
            <w:u w:val="none"/>
          </w:rPr>
          <w:t>enquiries@dsdsatsip.qld.gov.au</w:t>
        </w:r>
      </w:hyperlink>
    </w:p>
    <w:p w14:paraId="7357EF15" w14:textId="2435B46F" w:rsidR="00923FA7" w:rsidRPr="002F1114" w:rsidRDefault="00923FA7" w:rsidP="002F1114">
      <w:pPr>
        <w:pStyle w:val="ListBullet"/>
        <w:rPr>
          <w:rFonts w:eastAsia="Calibri"/>
        </w:rPr>
      </w:pPr>
      <w:r w:rsidRPr="002F1114">
        <w:rPr>
          <w:rFonts w:eastAsia="Calibri"/>
        </w:rPr>
        <w:t>Web:</w:t>
      </w:r>
      <w:r w:rsidRPr="002F1114">
        <w:rPr>
          <w:rFonts w:eastAsia="Calibri"/>
        </w:rPr>
        <w:tab/>
      </w:r>
      <w:hyperlink r:id="rId15" w:history="1">
        <w:r w:rsidR="00B4253E" w:rsidRPr="002F1114">
          <w:rPr>
            <w:rStyle w:val="Hyperlink"/>
            <w:rFonts w:eastAsia="Calibri"/>
            <w:color w:val="auto"/>
            <w:u w:val="none"/>
          </w:rPr>
          <w:t>www.dsdsatsip.qld.gov.au</w:t>
        </w:r>
      </w:hyperlink>
    </w:p>
    <w:p w14:paraId="0F7BF4F0" w14:textId="2B3FA014" w:rsidR="00923FA7" w:rsidRPr="002F1114" w:rsidRDefault="00923FA7" w:rsidP="00725863">
      <w:pPr>
        <w:pStyle w:val="Heading4"/>
        <w:spacing w:before="360"/>
      </w:pPr>
      <w:r w:rsidRPr="002F1114">
        <w:t>We value your feedback</w:t>
      </w:r>
    </w:p>
    <w:p w14:paraId="09477E58" w14:textId="3E893D7F" w:rsidR="002F1114" w:rsidRPr="007740EC" w:rsidRDefault="00923FA7" w:rsidP="007740EC">
      <w:pPr>
        <w:rPr>
          <w:rFonts w:eastAsia="Calibri"/>
        </w:rPr>
      </w:pPr>
      <w:r w:rsidRPr="002F1114">
        <w:rPr>
          <w:rFonts w:eastAsia="Calibri"/>
        </w:rPr>
        <w:t xml:space="preserve">Your feedback about this annual report is valuable and helps us to continually improve our reports. To provide your feedback on this report please visit the Get Involved website  </w:t>
      </w:r>
      <w:hyperlink r:id="rId16">
        <w:r w:rsidRPr="002F1114">
          <w:rPr>
            <w:rStyle w:val="Hyperlink"/>
            <w:rFonts w:eastAsia="Calibri"/>
          </w:rPr>
          <w:t>www.qld.gov.au/annualreportfeedback</w:t>
        </w:r>
      </w:hyperlink>
    </w:p>
    <w:sectPr w:rsidR="002F1114" w:rsidRPr="007740EC" w:rsidSect="007740EC">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6145"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0EC"/>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sdsatsi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pdf/inforce/2019-10-09/act-1984-0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ld.gov.au/annualreportfeedb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inforce/2013-09-23/act-2013-002" TargetMode="External"/><Relationship Id="rId5" Type="http://schemas.openxmlformats.org/officeDocument/2006/relationships/numbering" Target="numbering.xml"/><Relationship Id="rId15" Type="http://schemas.openxmlformats.org/officeDocument/2006/relationships/hyperlink" Target="http://www.dsdsatsip.qld.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dsdsatsip.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10BB-A933-432D-9C7F-3FB55CDB9B7B}">
  <ds:schemaRefs>
    <ds:schemaRef ds:uri="http://purl.org/dc/elements/1.1/"/>
    <ds:schemaRef ds:uri="http://schemas.microsoft.com/office/2006/documentManagement/types"/>
    <ds:schemaRef ds:uri="http://purl.org/dc/terms/"/>
    <ds:schemaRef ds:uri="04bf93d0-8d4f-4246-b2f2-85249239d7ff"/>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C9642-A58A-4459-869B-3F763589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7961</Words>
  <Characters>45382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Section 7 - Appendices - Department of Seniors, Disability Services and Aboriginal and Torres Strait Islander Partnerships</vt:lpstr>
    </vt:vector>
  </TitlesOfParts>
  <Manager/>
  <Company>Queensland Government</Company>
  <LinksUpToDate>false</LinksUpToDate>
  <CharactersWithSpaces>53237</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 Appendices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2</cp:revision>
  <cp:lastPrinted>2021-09-22T04:09:00Z</cp:lastPrinted>
  <dcterms:created xsi:type="dcterms:W3CDTF">2021-09-28T01:10:00Z</dcterms:created>
  <dcterms:modified xsi:type="dcterms:W3CDTF">2021-09-28T01:10:00Z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